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Look w:val="0000" w:firstRow="0" w:lastRow="0" w:firstColumn="0" w:lastColumn="0" w:noHBand="0" w:noVBand="0"/>
      </w:tblPr>
      <w:tblGrid>
        <w:gridCol w:w="2552"/>
        <w:gridCol w:w="5812"/>
      </w:tblGrid>
      <w:tr w:rsidR="00983E6D" w14:paraId="053BE2D6" w14:textId="77777777">
        <w:trPr>
          <w:trHeight w:val="284"/>
        </w:trPr>
        <w:tc>
          <w:tcPr>
            <w:tcW w:w="2552" w:type="dxa"/>
            <w:tcBorders>
              <w:top w:val="nil"/>
              <w:left w:val="nil"/>
              <w:bottom w:val="nil"/>
              <w:right w:val="nil"/>
            </w:tcBorders>
          </w:tcPr>
          <w:p w14:paraId="7EA137CB" w14:textId="77777777" w:rsidR="00983E6D" w:rsidRDefault="00983E6D">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2022/</w:t>
            </w:r>
            <w:r w:rsidR="008742EB">
              <w:rPr>
                <w:rFonts w:ascii="AytoRoquetas Light Condensed" w:hAnsi="AytoRoquetas Light Condensed" w:cs="AytoRoquetas Light Condensed"/>
                <w:color w:val="000000"/>
                <w:sz w:val="20"/>
                <w:szCs w:val="20"/>
              </w:rPr>
              <w:t>91</w:t>
            </w:r>
          </w:p>
          <w:p w14:paraId="09E6738A"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tc>
        <w:tc>
          <w:tcPr>
            <w:tcW w:w="5812" w:type="dxa"/>
            <w:tcBorders>
              <w:top w:val="nil"/>
              <w:left w:val="nil"/>
              <w:bottom w:val="nil"/>
              <w:right w:val="nil"/>
            </w:tcBorders>
            <w:vAlign w:val="center"/>
          </w:tcPr>
          <w:p w14:paraId="68EB344C" w14:textId="6FBB0A6D" w:rsidR="00983E6D" w:rsidRDefault="005972FE"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AYUNTAMIENTO DE </w:t>
            </w:r>
            <w:r w:rsidR="00757CE9">
              <w:rPr>
                <w:rFonts w:ascii="AytoRoquetas Light Condensed" w:hAnsi="AytoRoquetas Light Condensed" w:cs="AytoRoquetas Light Condensed"/>
                <w:color w:val="000000"/>
                <w:sz w:val="20"/>
                <w:szCs w:val="20"/>
              </w:rPr>
              <w:t>VICAR</w:t>
            </w:r>
          </w:p>
          <w:p w14:paraId="2242262C" w14:textId="5E83103F" w:rsidR="008742EB" w:rsidRDefault="00757CE9"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BULEVAR DE VICAR </w:t>
            </w:r>
            <w:proofErr w:type="spellStart"/>
            <w:r>
              <w:rPr>
                <w:rFonts w:ascii="AytoRoquetas Light Condensed" w:hAnsi="AytoRoquetas Light Condensed" w:cs="AytoRoquetas Light Condensed"/>
                <w:color w:val="000000"/>
                <w:sz w:val="20"/>
                <w:szCs w:val="20"/>
              </w:rPr>
              <w:t>Nº</w:t>
            </w:r>
            <w:proofErr w:type="spellEnd"/>
            <w:r>
              <w:rPr>
                <w:rFonts w:ascii="AytoRoquetas Light Condensed" w:hAnsi="AytoRoquetas Light Condensed" w:cs="AytoRoquetas Light Condensed"/>
                <w:color w:val="000000"/>
                <w:sz w:val="20"/>
                <w:szCs w:val="20"/>
              </w:rPr>
              <w:t xml:space="preserve"> 1331</w:t>
            </w:r>
          </w:p>
          <w:p w14:paraId="5EBF224D" w14:textId="09FBB239" w:rsidR="008742EB" w:rsidRDefault="005972FE"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047</w:t>
            </w:r>
            <w:r w:rsidR="00757CE9">
              <w:rPr>
                <w:rFonts w:ascii="AytoRoquetas Light Condensed" w:hAnsi="AytoRoquetas Light Condensed" w:cs="AytoRoquetas Light Condensed"/>
                <w:color w:val="000000"/>
                <w:sz w:val="20"/>
                <w:szCs w:val="20"/>
              </w:rPr>
              <w:t>38 VICAR</w:t>
            </w:r>
          </w:p>
          <w:p w14:paraId="6368D1DE" w14:textId="371FFC08" w:rsidR="005972FE" w:rsidRDefault="005972FE"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ALMERÍA</w:t>
            </w:r>
          </w:p>
          <w:p w14:paraId="6593C647" w14:textId="77777777" w:rsidR="008742EB" w:rsidRDefault="008742EB" w:rsidP="00B868B0">
            <w:pPr>
              <w:spacing w:after="0" w:line="288" w:lineRule="auto"/>
              <w:jc w:val="right"/>
              <w:rPr>
                <w:rFonts w:ascii="AytoRoquetas Light Condensed" w:hAnsi="AytoRoquetas Light Condensed" w:cs="AytoRoquetas Light Condensed"/>
                <w:color w:val="000000"/>
                <w:sz w:val="20"/>
                <w:szCs w:val="20"/>
              </w:rPr>
            </w:pPr>
          </w:p>
          <w:p w14:paraId="712A779E" w14:textId="77777777" w:rsidR="008742EB" w:rsidRDefault="008742EB" w:rsidP="00B868B0">
            <w:pPr>
              <w:spacing w:after="0" w:line="288" w:lineRule="auto"/>
              <w:jc w:val="right"/>
              <w:rPr>
                <w:rFonts w:ascii="AytoRoquetas Light Condensed" w:hAnsi="AytoRoquetas Light Condensed" w:cs="AytoRoquetas Light Condensed"/>
                <w:color w:val="000000"/>
                <w:sz w:val="20"/>
                <w:szCs w:val="20"/>
              </w:rPr>
            </w:pPr>
          </w:p>
        </w:tc>
      </w:tr>
    </w:tbl>
    <w:p w14:paraId="6579D7B9"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p w14:paraId="0E55C5F4" w14:textId="77777777" w:rsidR="00983E6D" w:rsidRDefault="00983E6D">
      <w:pPr>
        <w:spacing w:after="0" w:line="288" w:lineRule="auto"/>
        <w:ind w:firstLine="1134"/>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He de comunicarle que, según documentos obrantes en la Secretaría General, la </w:t>
      </w:r>
      <w:r w:rsidRPr="00B868B0">
        <w:rPr>
          <w:rFonts w:ascii="AytoRoquetas Light Condensed" w:hAnsi="AytoRoquetas Light Condensed" w:cs="AytoRoquetas Light Condensed"/>
          <w:sz w:val="20"/>
          <w:szCs w:val="20"/>
        </w:rPr>
        <w:t xml:space="preserve">JUNTA </w:t>
      </w:r>
      <w:r w:rsidR="008742EB">
        <w:rPr>
          <w:rFonts w:ascii="AytoRoquetas Light Condensed" w:hAnsi="AytoRoquetas Light Condensed" w:cs="AytoRoquetas Light Condensed"/>
          <w:sz w:val="20"/>
          <w:szCs w:val="20"/>
        </w:rPr>
        <w:t>GENERAL,</w:t>
      </w:r>
      <w:r>
        <w:rPr>
          <w:rFonts w:ascii="AytoRoquetas Light Condensed" w:hAnsi="AytoRoquetas Light Condensed" w:cs="AytoRoquetas Light Condensed"/>
          <w:color w:val="000000"/>
          <w:sz w:val="20"/>
          <w:szCs w:val="20"/>
        </w:rPr>
        <w:t xml:space="preserve"> del </w:t>
      </w:r>
      <w:r w:rsidR="008742EB">
        <w:rPr>
          <w:rFonts w:ascii="AytoRoquetas Light Condensed" w:hAnsi="AytoRoquetas Light Condensed" w:cs="AytoRoquetas Light Condensed"/>
          <w:color w:val="000000"/>
          <w:sz w:val="20"/>
          <w:szCs w:val="20"/>
        </w:rPr>
        <w:t>Consorcio del Ciclo Integral del Agua del Poniente Almeriense</w:t>
      </w:r>
      <w:r>
        <w:rPr>
          <w:rFonts w:ascii="AytoRoquetas Light Condensed" w:hAnsi="AytoRoquetas Light Condensed" w:cs="AytoRoquetas Light Condensed"/>
          <w:color w:val="000000"/>
          <w:sz w:val="20"/>
          <w:szCs w:val="20"/>
        </w:rPr>
        <w:t xml:space="preserve"> en Sesión Ordinaria celebrada el </w:t>
      </w:r>
      <w:r w:rsidR="008742EB">
        <w:rPr>
          <w:rFonts w:ascii="AytoRoquetas Light Condensed" w:hAnsi="AytoRoquetas Light Condensed" w:cs="AytoRoquetas Light Condensed"/>
          <w:color w:val="000000"/>
          <w:sz w:val="20"/>
          <w:szCs w:val="20"/>
        </w:rPr>
        <w:t>22</w:t>
      </w:r>
      <w:r>
        <w:rPr>
          <w:rFonts w:ascii="AytoRoquetas Light Condensed" w:hAnsi="AytoRoquetas Light Condensed" w:cs="AytoRoquetas Light Condensed"/>
          <w:color w:val="000000"/>
          <w:sz w:val="20"/>
          <w:szCs w:val="20"/>
        </w:rPr>
        <w:t>/1</w:t>
      </w:r>
      <w:r w:rsidR="008742EB">
        <w:rPr>
          <w:rFonts w:ascii="AytoRoquetas Light Condensed" w:hAnsi="AytoRoquetas Light Condensed" w:cs="AytoRoquetas Light Condensed"/>
          <w:color w:val="000000"/>
          <w:sz w:val="20"/>
          <w:szCs w:val="20"/>
        </w:rPr>
        <w:t>2</w:t>
      </w:r>
      <w:r>
        <w:rPr>
          <w:rFonts w:ascii="AytoRoquetas Light Condensed" w:hAnsi="AytoRoquetas Light Condensed" w:cs="AytoRoquetas Light Condensed"/>
          <w:color w:val="000000"/>
          <w:sz w:val="20"/>
          <w:szCs w:val="20"/>
        </w:rPr>
        <w:t>/202</w:t>
      </w:r>
      <w:r w:rsidR="008742EB">
        <w:rPr>
          <w:rFonts w:ascii="AytoRoquetas Light Condensed" w:hAnsi="AytoRoquetas Light Condensed" w:cs="AytoRoquetas Light Condensed"/>
          <w:color w:val="000000"/>
          <w:sz w:val="20"/>
          <w:szCs w:val="20"/>
        </w:rPr>
        <w:t>2</w:t>
      </w:r>
      <w:r>
        <w:rPr>
          <w:rFonts w:ascii="AytoRoquetas Light Condensed" w:hAnsi="AytoRoquetas Light Condensed" w:cs="AytoRoquetas Light Condensed"/>
          <w:color w:val="000000"/>
          <w:sz w:val="20"/>
          <w:szCs w:val="20"/>
        </w:rPr>
        <w:t xml:space="preserve"> adoptó, entre otros, el ACUERDO del siguiente tenor literal:</w:t>
      </w:r>
    </w:p>
    <w:p w14:paraId="0B97CAC8" w14:textId="77777777" w:rsidR="00983E6D" w:rsidRDefault="00983E6D">
      <w:pPr>
        <w:spacing w:after="0" w:line="288" w:lineRule="auto"/>
        <w:ind w:firstLine="1134"/>
        <w:jc w:val="both"/>
        <w:rPr>
          <w:rFonts w:ascii="AytoRoquetas Light Condensed" w:hAnsi="AytoRoquetas Light Condensed" w:cs="AytoRoquetas Light Condensed"/>
          <w:color w:val="000000"/>
          <w:sz w:val="20"/>
          <w:szCs w:val="20"/>
        </w:rPr>
      </w:pPr>
    </w:p>
    <w:p w14:paraId="594B036B" w14:textId="77777777" w:rsidR="00B868B0" w:rsidRDefault="00B868B0" w:rsidP="00B868B0">
      <w:pPr>
        <w:pStyle w:val="Predeterminado"/>
        <w:spacing w:line="288" w:lineRule="auto"/>
        <w:jc w:val="both"/>
        <w:rPr>
          <w:rFonts w:ascii="AytoRoquetas Light Condensed" w:hAnsi="AytoRoquetas Light Condensed"/>
          <w:i/>
          <w:sz w:val="22"/>
        </w:rPr>
      </w:pPr>
    </w:p>
    <w:p w14:paraId="37ACCC66" w14:textId="77777777" w:rsidR="005972FE" w:rsidRPr="00064336" w:rsidRDefault="008742EB" w:rsidP="005972FE">
      <w:pPr>
        <w:spacing w:after="0" w:line="288" w:lineRule="auto"/>
        <w:jc w:val="both"/>
        <w:rPr>
          <w:rFonts w:ascii="AytoRoquetas Light Condensed" w:hAnsi="AytoRoquetas Light Condensed" w:cs="Arial"/>
          <w:b/>
          <w:bCs/>
          <w:sz w:val="26"/>
          <w:szCs w:val="26"/>
        </w:rPr>
      </w:pPr>
      <w:r>
        <w:rPr>
          <w:rFonts w:ascii="AytoRoquetas Light Condensed" w:hAnsi="AytoRoquetas Light Condensed"/>
          <w:iCs/>
        </w:rPr>
        <w:t>“</w:t>
      </w:r>
      <w:r w:rsidR="005972FE" w:rsidRPr="00064336">
        <w:rPr>
          <w:rFonts w:ascii="AytoRoquetas Light Condensed" w:hAnsi="AytoRoquetas Light Condensed" w:cs="Arial"/>
          <w:b/>
          <w:bCs/>
          <w:sz w:val="26"/>
          <w:szCs w:val="26"/>
        </w:rPr>
        <w:t>14º. APROBACIÓN del Convenio entre la Consejería de Agricultura, Ganadería, Pesca y Desarrollo Sostenible y el CIAP para la Construcción, financiación y puesta en funcionamiento de infraestructuras hidráulicas de depuración de los municipios de El Ejido, La Mojonera, Roquetas de Mar y Vícar.</w:t>
      </w:r>
    </w:p>
    <w:p w14:paraId="7B2A4123" w14:textId="77777777" w:rsidR="005972FE" w:rsidRPr="00064336" w:rsidRDefault="005972FE" w:rsidP="005972FE">
      <w:pPr>
        <w:spacing w:after="0" w:line="288" w:lineRule="auto"/>
        <w:jc w:val="both"/>
        <w:rPr>
          <w:rFonts w:ascii="AytoRoquetas Light Condensed" w:hAnsi="AytoRoquetas Light Condensed" w:cs="Arial"/>
        </w:rPr>
      </w:pPr>
    </w:p>
    <w:p w14:paraId="1F11E4FC"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t>La Junta General del Consorcio celebrada el 2 de diciembre de 2021 aprobó el establecimiento de un Convenio entre la Consejería de Agricultura, Ganadería, Pesca y Desarrollo Sostenible y el CIAP para la Construcción, financiación y puesta en funcionamiento de infraestructuras hidráulicas de depuración de los municipios de El Ejido, La Mojonera, Roquetas de Mar y Vícar.</w:t>
      </w:r>
    </w:p>
    <w:p w14:paraId="0C8A6866" w14:textId="77777777" w:rsidR="005972FE" w:rsidRPr="00064336" w:rsidRDefault="005972FE" w:rsidP="005972FE">
      <w:pPr>
        <w:spacing w:after="0" w:line="288" w:lineRule="auto"/>
        <w:jc w:val="both"/>
        <w:rPr>
          <w:rFonts w:ascii="AytoRoquetas Light Condensed" w:hAnsi="AytoRoquetas Light Condensed" w:cs="Arial"/>
        </w:rPr>
      </w:pPr>
    </w:p>
    <w:p w14:paraId="34D3C428"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t>El 30 de junio de 2022, con NRE 23913, se ha recibido en el Ayuntamiento de Roquetas de Mar escrito de la Delegación Territorial de Agricultura, Ganadería y Pesca en Almería de remisión del borrador del convenio de infraestructuras hidráulicas de depuración para su aprobación en Junta General, del siguiente tenor literal:</w:t>
      </w:r>
    </w:p>
    <w:p w14:paraId="3B1907BA" w14:textId="77777777" w:rsidR="005972FE" w:rsidRPr="00064336" w:rsidRDefault="005972FE" w:rsidP="005972FE">
      <w:pPr>
        <w:spacing w:after="0" w:line="288" w:lineRule="auto"/>
        <w:jc w:val="both"/>
        <w:rPr>
          <w:rFonts w:ascii="AytoRoquetas Light Condensed" w:hAnsi="AytoRoquetas Light Condensed" w:cs="Arial"/>
        </w:rPr>
      </w:pPr>
    </w:p>
    <w:p w14:paraId="4A4A3234"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Semibold"/>
          <w:b/>
          <w:bCs/>
          <w:i/>
          <w:iCs/>
          <w:color w:val="auto"/>
          <w:sz w:val="22"/>
          <w:szCs w:val="22"/>
        </w:rPr>
      </w:pPr>
      <w:r w:rsidRPr="00064336">
        <w:rPr>
          <w:rFonts w:ascii="AytoRoquetas Light Condensed" w:hAnsi="AytoRoquetas Light Condensed" w:cs="Source Sans Pro Semibold"/>
          <w:b/>
          <w:bCs/>
          <w:i/>
          <w:iCs/>
          <w:color w:val="auto"/>
          <w:sz w:val="22"/>
          <w:szCs w:val="22"/>
        </w:rPr>
        <w:t>“Convenio entre la Consejería de Agricultura, Ganadería, Pesca y Desarrollo Sostenible y el Consorcio para la Gestión del Ciclo Integral del Agua de Uso Urbano en el Poniente Almeriense (provincia de Almería) para la construcción, financiación y puesta en funcionamiento de infraestructuras hidráulicas de depuración de los municipios de El Ejido, La Mojonera, Roquetas de Mar y Vícar.</w:t>
      </w:r>
    </w:p>
    <w:p w14:paraId="1B74C13F"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color w:val="auto"/>
          <w:sz w:val="22"/>
          <w:szCs w:val="22"/>
        </w:rPr>
      </w:pPr>
    </w:p>
    <w:p w14:paraId="692644E2"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 xml:space="preserve">En la ciudad de ................., a … de </w:t>
      </w:r>
      <w:proofErr w:type="gramStart"/>
      <w:r w:rsidRPr="00064336">
        <w:rPr>
          <w:rFonts w:ascii="AytoRoquetas Light Condensed" w:hAnsi="AytoRoquetas Light Condensed" w:cs="Source Sans Pro"/>
          <w:i/>
          <w:iCs/>
          <w:color w:val="00000A"/>
          <w:sz w:val="22"/>
          <w:szCs w:val="22"/>
        </w:rPr>
        <w:t>…….</w:t>
      </w:r>
      <w:proofErr w:type="gramEnd"/>
      <w:r w:rsidRPr="00064336">
        <w:rPr>
          <w:rFonts w:ascii="AytoRoquetas Light Condensed" w:hAnsi="AytoRoquetas Light Condensed" w:cs="Source Sans Pro"/>
          <w:i/>
          <w:iCs/>
          <w:color w:val="00000A"/>
          <w:sz w:val="22"/>
          <w:szCs w:val="22"/>
        </w:rPr>
        <w:t>.… de 2022</w:t>
      </w:r>
    </w:p>
    <w:p w14:paraId="7C2D7860"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p>
    <w:p w14:paraId="776FF8C0"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Reunidos</w:t>
      </w:r>
    </w:p>
    <w:p w14:paraId="1DA6E3F3"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p>
    <w:p w14:paraId="2683A10B"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De una parte, </w:t>
      </w:r>
      <w:bookmarkStart w:id="0" w:name="__DdeLink__168_1253197821"/>
      <w:r w:rsidRPr="00064336">
        <w:rPr>
          <w:rFonts w:ascii="AytoRoquetas Light Condensed" w:hAnsi="AytoRoquetas Light Condensed" w:cs="Source Sans Pro"/>
          <w:i/>
          <w:iCs/>
        </w:rPr>
        <w:t xml:space="preserve">Dª. </w:t>
      </w:r>
      <w:bookmarkEnd w:id="0"/>
      <w:r w:rsidRPr="00064336">
        <w:rPr>
          <w:rFonts w:ascii="AytoRoquetas Light Condensed" w:hAnsi="AytoRoquetas Light Condensed" w:cs="Source Sans Pro"/>
          <w:i/>
          <w:iCs/>
        </w:rPr>
        <w:t xml:space="preserve">María del Carmen Crespo Díaz, Consejera de Agricultura, Ganadería, Pesca y Desarrollo Sostenible, en nombre y representación de la Consejería, en virtud de nombramiento efectuado por Decreto del Presidente 4/2019, de 21 de enero, en el ejercicio de las competencias atribuidas en materia de aguas por el </w:t>
      </w:r>
      <w:r w:rsidRPr="00064336">
        <w:rPr>
          <w:rFonts w:ascii="AytoRoquetas Light Condensed" w:hAnsi="AytoRoquetas Light Condensed" w:cs="Source Sans Pro"/>
          <w:i/>
          <w:iCs/>
          <w:color w:val="000000"/>
        </w:rPr>
        <w:t>Decreto 103/2019, de 12 de febrero,</w:t>
      </w:r>
      <w:r w:rsidRPr="00064336">
        <w:rPr>
          <w:rFonts w:ascii="AytoRoquetas Light Condensed" w:hAnsi="AytoRoquetas Light Condensed" w:cs="Source Sans Pro"/>
          <w:i/>
          <w:iCs/>
          <w:color w:val="CE181E"/>
        </w:rPr>
        <w:t xml:space="preserve"> </w:t>
      </w:r>
      <w:r w:rsidRPr="00064336">
        <w:rPr>
          <w:rFonts w:ascii="AytoRoquetas Light Condensed" w:hAnsi="AytoRoquetas Light Condensed" w:cs="Source Sans Pro"/>
          <w:i/>
          <w:iCs/>
        </w:rPr>
        <w:t>por el que se establece la estructura orgánica de la Consejería de Agricultura, Ganadería, Pesca y Desarrollo Sostenible, y facultada a los efectos del presente convenio por los artículos 9 y 26 de la Ley 9/2007, de 22 de octubre, de la Administración de la Junta de Andalucía.</w:t>
      </w:r>
    </w:p>
    <w:p w14:paraId="22C5EC94"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 xml:space="preserve">De otra, D. Gabriel Amat Ayllón, </w:t>
      </w:r>
      <w:proofErr w:type="gramStart"/>
      <w:r w:rsidRPr="00064336">
        <w:rPr>
          <w:rFonts w:ascii="AytoRoquetas Light Condensed" w:hAnsi="AytoRoquetas Light Condensed" w:cs="Source Sans Pro"/>
          <w:i/>
          <w:iCs/>
          <w:color w:val="00000A"/>
          <w:sz w:val="22"/>
          <w:szCs w:val="22"/>
        </w:rPr>
        <w:t>Presidente</w:t>
      </w:r>
      <w:proofErr w:type="gramEnd"/>
      <w:r w:rsidRPr="00064336">
        <w:rPr>
          <w:rFonts w:ascii="AytoRoquetas Light Condensed" w:hAnsi="AytoRoquetas Light Condensed" w:cs="Source Sans Pro"/>
          <w:i/>
          <w:iCs/>
          <w:color w:val="00000A"/>
          <w:sz w:val="22"/>
          <w:szCs w:val="22"/>
        </w:rPr>
        <w:t xml:space="preserve"> del Consorcio para la Gestión del Ciclo Integral del Agua de Uso Urbano en el Poniente Almeriense, en ejercicio de las atribuciones que le confiere el artículo 11.1 de los Estatutos reguladores de dicho Ente aprobados el 17 de diciembre de 2012, y facultado para la firma del presente Convenio en virtud del Acuerdo de la Junta General adoptado en sesión del día 9 de diciembre de 2021.</w:t>
      </w:r>
    </w:p>
    <w:p w14:paraId="1E11AB7B"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Las partes se reconocen mutuamente, en razón de la representación que ostentan, capacidad suficiente para el otorgamiento del presente Convenio, y para asumir los compromisos y obligaciones que de él se derivan, y a tal efecto</w:t>
      </w:r>
    </w:p>
    <w:p w14:paraId="26EC4CA0"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Exponen</w:t>
      </w:r>
    </w:p>
    <w:p w14:paraId="52445FC7"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Con fecha 28 de diciembre de 2021 se suscribió Convenio entre el Ministerio para la Transición Ecológica y el Reto Demográfico, la Consejería de Agricultura, Ganadería, Pesca y Desarrollo Sostenible y los Ayuntamientos de Almonte, Burguillos, Guillena, Sanlúcar de Barrameda, El Ejido, Roquetas de Mar y Adra para la financiación, ejecución y explotación de determinadas infraestructuras de saneamiento y depuración necesarias para garantizar el cumplimiento de la Directiva 91/271/CEE sobre tratamiento de las aguas residuales urbanas. El convenio contempla la redacción de proyecto de la «Ampliación de la EDAR de Roquetas de Mar» por parte de la Junta de Andalucía. Dicho convenio en su cláusula Segunda apartado b) 3º estipula que la Junta de Andalucía podrá iniciar las actuaciones correspondientes a la «Ampliación de la EDAR de Roquetas de Mar» una vez finalizado el proyecto, pudiéndose firmar el convenio específico para esta actuación justo antes de la fecha del acta de comprobación del replanteo de las obras. Dicho Convenio recogerá, para la EDAR de Roquetas del Mar, todas las condiciones, derechos y obligaciones de las partes firmantes establecidas en el presente convenio. El presente convenio constituye el convenio específico a que hace referencia dicha cláusula.</w:t>
      </w:r>
    </w:p>
    <w:p w14:paraId="241B4457"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La «Ampliación de la EDAR de Roquetas de Mar» está declarada de interés general del Estado en el Anexo II de la Ley 10/2001, de 5 de julio, del Plan Hidrológico Nacional, y en virtud del convenio suscrito el Estado habilita a la Junta de Andalucía para la redacción del proyecto y ejecución de las obras.</w:t>
      </w:r>
    </w:p>
    <w:p w14:paraId="4519786D"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lastRenderedPageBreak/>
        <w:t>El convenio estipula igualmente que una vez finalizadas las obras y su periodo de puesta en marcha, la Junta de Andalucía entregará las infraestructuras ejecutadas al Consorcio, que asumirá su explotación (cláusula Segunda, apartado b) 2º), pasando a ser titular de las mismas la Administración General del Estado en razón de que son obras declaradas de interés general del Estado (cláusula Cuarta, apartados 4.1 y 4.4).</w:t>
      </w:r>
    </w:p>
    <w:p w14:paraId="7D2DB7A0"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 xml:space="preserve">La «Ampliación de la EDAR de Roquetas de Mar», </w:t>
      </w:r>
      <w:r w:rsidRPr="00064336">
        <w:rPr>
          <w:rFonts w:ascii="AytoRoquetas Light Condensed" w:eastAsia="+mn-ea" w:hAnsi="AytoRoquetas Light Condensed" w:cs="Arial"/>
          <w:i/>
          <w:iCs/>
          <w:color w:val="000000"/>
          <w:sz w:val="22"/>
          <w:szCs w:val="22"/>
        </w:rPr>
        <w:t>entre las que se encuentra las infraestructuras de depuración de los municipios de Roquetas de Mar, El Ejido, La Mojonera y Vícar (Almería),</w:t>
      </w:r>
      <w:r w:rsidRPr="00064336">
        <w:rPr>
          <w:rFonts w:ascii="AytoRoquetas Light Condensed" w:hAnsi="AytoRoquetas Light Condensed" w:cs="Source Sans Pro"/>
          <w:i/>
          <w:iCs/>
          <w:color w:val="00000A"/>
          <w:sz w:val="22"/>
          <w:szCs w:val="22"/>
        </w:rPr>
        <w:t xml:space="preserve"> está igualmente declarada de interés de la Comunidad Autónoma por el Acuerdo de Consejo de Gobierno de 26 de octubre de 2010, por lo que para su financiación la Consejería de Agricultura, Ganadería, Pesca y Desarrollo Sostenible cuenta con los ingresos del canon de mejora de infraestructuras de interés de la Comunidad Autónoma, según lo dispuesto en el artículo 80 de la Ley 9/2010, de 30 de julio, de Aguas de Andalucía.</w:t>
      </w:r>
    </w:p>
    <w:p w14:paraId="5DEA60A5"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 xml:space="preserve">En virtud del convenio bilateral de adhesión suscrito entre el Consorcio y los Ayuntamientos de El Ejido, La Mojonera, Roquetas de Mar y Vícar de fecha </w:t>
      </w:r>
      <w:r w:rsidRPr="005972FE">
        <w:rPr>
          <w:rFonts w:ascii="AytoRoquetas Light Condensed" w:hAnsi="AytoRoquetas Light Condensed" w:cs="Source Sans Pro"/>
          <w:i/>
          <w:iCs/>
          <w:color w:val="FFFFFF"/>
          <w:sz w:val="22"/>
          <w:szCs w:val="22"/>
          <w:shd w:val="clear" w:color="auto" w:fill="C9211E"/>
        </w:rPr>
        <w:t>…</w:t>
      </w:r>
      <w:r w:rsidRPr="005972FE">
        <w:rPr>
          <w:rFonts w:ascii="AytoRoquetas Light Condensed" w:hAnsi="AytoRoquetas Light Condensed" w:cs="Source Sans Pro"/>
          <w:i/>
          <w:iCs/>
          <w:color w:val="FFFFFF"/>
          <w:sz w:val="22"/>
          <w:szCs w:val="22"/>
        </w:rPr>
        <w:t xml:space="preserve">, </w:t>
      </w:r>
      <w:r w:rsidRPr="00064336">
        <w:rPr>
          <w:rFonts w:ascii="AytoRoquetas Light Condensed" w:hAnsi="AytoRoquetas Light Condensed" w:cs="Source Sans Pro"/>
          <w:i/>
          <w:iCs/>
          <w:color w:val="00000A"/>
          <w:sz w:val="22"/>
          <w:szCs w:val="22"/>
        </w:rPr>
        <w:t>el Consorcio tiene asumidas las competencias sobre la gestión y prestación del servicio de depuración de las aguas residuales de uso urbano en esos municipios.</w:t>
      </w:r>
    </w:p>
    <w:p w14:paraId="038A8CF6"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Conforme al artículo 31 de la Ley 9/2010, de 30 de julio, de Aguas de Andalucía, los instrumentos ordinarios de desarrollo y ejecución de la planificación de infraestructuras de saneamiento y depuración serán los convenios de colaboración entre la Consejería competente en materia de aguas y las entidades locales, conforme a lo previsto en el artículo 9 de la Ley de la Administración de la Junta de Andalucía y se desarrollarán conforme a las estipulaciones recogidas en dicho artículo.</w:t>
      </w:r>
    </w:p>
    <w:p w14:paraId="754E65DF"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shd w:val="clear" w:color="auto" w:fill="FFFFFF"/>
        </w:rPr>
        <w:t xml:space="preserve">Que, por </w:t>
      </w:r>
      <w:r w:rsidRPr="00064336">
        <w:rPr>
          <w:rFonts w:ascii="AytoRoquetas Light Condensed" w:hAnsi="AytoRoquetas Light Condensed" w:cs="Source Sans Pro"/>
          <w:i/>
          <w:iCs/>
          <w:color w:val="00000A"/>
          <w:sz w:val="22"/>
          <w:szCs w:val="22"/>
        </w:rPr>
        <w:t>el Consorcio</w:t>
      </w:r>
      <w:r w:rsidRPr="00064336">
        <w:rPr>
          <w:rFonts w:ascii="AytoRoquetas Light Condensed" w:hAnsi="AytoRoquetas Light Condensed" w:cs="Source Sans Pro"/>
          <w:i/>
          <w:iCs/>
          <w:color w:val="00000A"/>
          <w:sz w:val="22"/>
          <w:szCs w:val="22"/>
          <w:shd w:val="clear" w:color="auto" w:fill="FFFFFF"/>
        </w:rPr>
        <w:t xml:space="preserve"> en Pleno, en sesión celebrada</w:t>
      </w:r>
      <w:r w:rsidRPr="00064336">
        <w:rPr>
          <w:rFonts w:ascii="AytoRoquetas Light Condensed" w:hAnsi="AytoRoquetas Light Condensed" w:cs="Source Sans Pro"/>
          <w:i/>
          <w:iCs/>
          <w:color w:val="00000A"/>
          <w:sz w:val="22"/>
          <w:szCs w:val="22"/>
        </w:rPr>
        <w:t xml:space="preserve"> el día 9 de diciembre de 2021</w:t>
      </w:r>
      <w:r w:rsidRPr="00064336">
        <w:rPr>
          <w:rFonts w:ascii="AytoRoquetas Light Condensed" w:hAnsi="AytoRoquetas Light Condensed" w:cs="Source Sans Pro"/>
          <w:i/>
          <w:iCs/>
          <w:color w:val="00000A"/>
          <w:sz w:val="22"/>
          <w:szCs w:val="22"/>
          <w:shd w:val="clear" w:color="auto" w:fill="FFFFFF"/>
        </w:rPr>
        <w:t xml:space="preserve">, se aprueba en todos sus términos el texto del presente Convenio y se autoriza a su </w:t>
      </w:r>
      <w:proofErr w:type="gramStart"/>
      <w:r w:rsidRPr="00064336">
        <w:rPr>
          <w:rFonts w:ascii="AytoRoquetas Light Condensed" w:hAnsi="AytoRoquetas Light Condensed" w:cs="Source Sans Pro"/>
          <w:i/>
          <w:iCs/>
          <w:color w:val="00000A"/>
          <w:sz w:val="22"/>
          <w:szCs w:val="22"/>
          <w:shd w:val="clear" w:color="auto" w:fill="FFFFFF"/>
        </w:rPr>
        <w:t>Presidente</w:t>
      </w:r>
      <w:proofErr w:type="gramEnd"/>
      <w:r w:rsidRPr="00064336">
        <w:rPr>
          <w:rFonts w:ascii="AytoRoquetas Light Condensed" w:hAnsi="AytoRoquetas Light Condensed" w:cs="Source Sans Pro"/>
          <w:i/>
          <w:iCs/>
          <w:color w:val="00000A"/>
          <w:sz w:val="22"/>
          <w:szCs w:val="22"/>
          <w:shd w:val="clear" w:color="auto" w:fill="FFFFFF"/>
        </w:rPr>
        <w:t>,</w:t>
      </w:r>
      <w:r w:rsidRPr="00064336">
        <w:rPr>
          <w:rFonts w:ascii="AytoRoquetas Light Condensed" w:hAnsi="AytoRoquetas Light Condensed" w:cs="Source Sans Pro"/>
          <w:i/>
          <w:iCs/>
          <w:color w:val="00000A"/>
          <w:sz w:val="22"/>
          <w:szCs w:val="22"/>
        </w:rPr>
        <w:t xml:space="preserve"> D. Gabriel Amat Ayllón, a la firma del</w:t>
      </w:r>
      <w:r w:rsidRPr="00064336">
        <w:rPr>
          <w:rFonts w:ascii="AytoRoquetas Light Condensed" w:hAnsi="AytoRoquetas Light Condensed" w:cs="Source Sans Pro"/>
          <w:i/>
          <w:iCs/>
          <w:color w:val="00000A"/>
          <w:sz w:val="22"/>
          <w:szCs w:val="22"/>
          <w:shd w:val="clear" w:color="auto" w:fill="FFFFFF"/>
        </w:rPr>
        <w:t xml:space="preserve"> mismo.</w:t>
      </w:r>
    </w:p>
    <w:p w14:paraId="5BA7182B" w14:textId="77777777" w:rsidR="005972FE" w:rsidRPr="00064336" w:rsidRDefault="005972FE" w:rsidP="005972FE">
      <w:pPr>
        <w:pStyle w:val="al-justificada3"/>
        <w:numPr>
          <w:ilvl w:val="0"/>
          <w:numId w:val="1"/>
        </w:numPr>
        <w:suppressAutoHyphens w:val="0"/>
        <w:spacing w:before="0" w:after="0" w:line="288" w:lineRule="auto"/>
        <w:ind w:left="0" w:firstLine="0"/>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Que, de acuerdo con la política general de información y difusión a los ciudadanos en materia de medio ambiente y, más concretamente, en materia de aguas, aspecto fuertemente resaltado por la Directiva 2000/60/CE del Parlamento Europeo y del Consejo, de 23 de octubre de 2000, y por el impacto potencial que se prevé de tales medidas, las Administraciones reunidas coinciden en la conveniencia de desarrollar acciones de divulgación e información dirigidas a la población, sobre los objetivos, alcance y contenido del presente Convenio.</w:t>
      </w:r>
    </w:p>
    <w:p w14:paraId="345702B6"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 xml:space="preserve">Con base en todas las consideraciones expuestas, y en virtud de lo establecido en la Ley 40/2015, de 1 de octubre, de Régimen Jurídico del Sector Público, y de acuerdo con lo preceptuado en la Ley 7/1985, de Bases de Régimen Local, y lo dispuesto en las Leyes Autonómicas 9/2007, de Administración de la Junta de Andalucía, 5/2010, de Autonomía Local de Andalucía, y 9/2010 de Aguas de Andalucía y demás normativa de aplicación, las partes </w:t>
      </w:r>
      <w:r w:rsidRPr="00064336">
        <w:rPr>
          <w:rFonts w:ascii="AytoRoquetas Light Condensed" w:hAnsi="AytoRoquetas Light Condensed" w:cs="Source Sans Pro"/>
          <w:i/>
          <w:iCs/>
          <w:color w:val="00000A"/>
          <w:sz w:val="22"/>
          <w:szCs w:val="22"/>
        </w:rPr>
        <w:lastRenderedPageBreak/>
        <w:t>intervinientes, a través de las representaciones indicadas, suscriben el presente Convenio conforme a las siguientes:</w:t>
      </w:r>
    </w:p>
    <w:p w14:paraId="090FD8D6"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p>
    <w:p w14:paraId="3FFE3F9E"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Cláusulas</w:t>
      </w:r>
    </w:p>
    <w:p w14:paraId="17DB5AE1" w14:textId="77777777" w:rsidR="005972FE" w:rsidRPr="00064336" w:rsidRDefault="005972FE" w:rsidP="005972FE">
      <w:pPr>
        <w:pStyle w:val="tx-titulo-1-al-centrada5"/>
        <w:suppressAutoHyphens w:val="0"/>
        <w:spacing w:before="0" w:after="0" w:line="288" w:lineRule="auto"/>
        <w:jc w:val="both"/>
        <w:rPr>
          <w:rFonts w:ascii="AytoRoquetas Light Condensed" w:hAnsi="AytoRoquetas Light Condensed" w:cs="Source Sans Pro"/>
          <w:i/>
          <w:iCs/>
          <w:color w:val="00000A"/>
          <w:sz w:val="22"/>
          <w:szCs w:val="22"/>
        </w:rPr>
      </w:pPr>
    </w:p>
    <w:p w14:paraId="553A3258"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Primera- Objeto del convenio.</w:t>
      </w:r>
    </w:p>
    <w:p w14:paraId="34AA342F"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1.1- Conforme al artículo 31 de la Ley 9/2010, de 30 de julio, de Aguas de Andalucía, es objeto del presente Convenio establecer el régimen de colaboración entre la Consejería de Agricultura, Ganadería, Pesca y Desarrollo Sostenible y el Consorcio para la Gestión del Ciclo Integral del Agua de Uso Urbano en el Poniente Almeriense para la construcción, financiación y puesta en funcionamiento de infraestructuras hidráulicas de depuración de los municipios de El Ejido, La Mojonera, Roquetas de Mar y Vícar.</w:t>
      </w:r>
    </w:p>
    <w:p w14:paraId="00A0BD3B"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1.2- Las  obras objeto del presente convenio son las referidas a la «Ampliación de la EDAR de Roquetas de Mar» consistentes en las actuaciones necesarias para dar solución a los problemas de funcionamiento actuales, como la imposibilidad de tratar el caudal máximo de diseño con el pretratamiento existente, de obtener en determinados momentos la calidad mínima del efluente exigida y de tratar la totalidad del lodo generado de forma eficiente, así como para garantizar a futuro el cumplimiento normativo íntegro asociado a su funcionamiento de una forma más sostenible y eficiente.</w:t>
      </w:r>
    </w:p>
    <w:p w14:paraId="31881EDB"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1.3- El importe estimado total del convenio asciende a treinta y ocho millones quinientos mil euros (38.500.000 euros, incluido IVA 21%).</w:t>
      </w:r>
    </w:p>
    <w:p w14:paraId="4E1487A8"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1.4- Los núcleos de población beneficiados son Roquetas de Mar, La Mojonera, Vícar y San Agustín (El Ejido).</w:t>
      </w:r>
    </w:p>
    <w:p w14:paraId="04A5240B"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1.5- Los terrenos sobre los que se ubican las infraestructuras se localizan en el plano del Anexo.</w:t>
      </w:r>
    </w:p>
    <w:p w14:paraId="4E647A49" w14:textId="77777777" w:rsidR="005972FE" w:rsidRPr="00064336" w:rsidRDefault="005972FE" w:rsidP="005972FE">
      <w:pPr>
        <w:pStyle w:val="al-justificada3"/>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1.6- Las infraestructuras objeto de construcción mediante este convenio y objeto de financiación mediante el canon de mejora autonómico, responden al objetivo de cumplimiento de la Directiva 2000/60/CE del Parlamento Europeo y del Consejo, de 23 de octubre de 2000, de manera que la Junta de Andalucía, mediante Acuerdo del Consejo de Gobierno de 26 de octubre de 2010, declaró de interés de la Comunidad Autónoma de Andalucía aquellas actuaciones necesarias para el cumplimiento del objetivo de calidad de las aguas, por lo que con la ejecución de la obra objeto de este convenio se culminan las infraestructuras declaradas de Interés de la Comunidad Autónoma en la aglomeración urbana de Roquetas de Mar (ES1040790010010) que abarca los núcleos de población indicados en el apartado 1.4.</w:t>
      </w:r>
    </w:p>
    <w:p w14:paraId="7FB41683"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Segunda- Compromisos de las partes.</w:t>
      </w:r>
    </w:p>
    <w:p w14:paraId="3AD0912F"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2.1- Conforme al artículo 31 de la Ley 9/2010, de 30 de julio, de Aguas de Andalucía, corresponde a la Consejería de Agricultura, Ganadería, Pesca y Desarrollo Sostenible:</w:t>
      </w:r>
    </w:p>
    <w:p w14:paraId="6E5E79A2"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lastRenderedPageBreak/>
        <w:t>La construcción de las infraestructuras «Ampliación de la EDAR de Roquetas de Mar».</w:t>
      </w:r>
    </w:p>
    <w:p w14:paraId="396D3995"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spacing w:val="-2"/>
        </w:rPr>
      </w:pPr>
      <w:r w:rsidRPr="00064336">
        <w:rPr>
          <w:rFonts w:ascii="AytoRoquetas Light Condensed" w:hAnsi="AytoRoquetas Light Condensed" w:cs="Source Sans Pro"/>
          <w:i/>
          <w:iCs/>
          <w:spacing w:val="-2"/>
        </w:rPr>
        <w:t>El abono del coste total de la actuación, que incluye: consultoría y servicios técnicos, redacción de proyecto, dirección de obra, ensayos y controles varios, seguridad y salud, ejecución de las obras, y cuantos costes sean necesarios para la correcta ejecución de las infraestructuras, incluido el coste de la indemnización por expropiación de bienes y derechos afectados por ellas (excluidas las indemnizaciones que legalmente procedan por retrasos que no sean imputables a la Consejería de Agricultura, Ganadería, Pesca y Desarrollo Sostenible de la Junta de Andalucía).</w:t>
      </w:r>
    </w:p>
    <w:p w14:paraId="2E46DB2D"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spacing w:val="-2"/>
        </w:rPr>
        <w:t>Dicho abono se hará con cargo al canon de mejora de infraestructuras hidráulicas de interés de la Comunidad Autónoma.</w:t>
      </w:r>
    </w:p>
    <w:p w14:paraId="6F532337"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spacing w:val="-2"/>
        </w:rPr>
        <w:t>La tramitación de los procedimientos de prevención y evaluación ambiental y demás procedimientos que le correspondan de acuerdo con la normativa ambiental, así como, en su caso, las modificaciones que procedan, previamente a la aprobación del proyecto definitivo de construcción.</w:t>
      </w:r>
    </w:p>
    <w:p w14:paraId="637AD4F6"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spacing w:val="-2"/>
        </w:rPr>
      </w:pPr>
      <w:r w:rsidRPr="00064336">
        <w:rPr>
          <w:rFonts w:ascii="AytoRoquetas Light Condensed" w:hAnsi="AytoRoquetas Light Condensed" w:cs="Source Sans Pro"/>
          <w:i/>
          <w:iCs/>
          <w:spacing w:val="-2"/>
        </w:rPr>
        <w:t>La aprobación de los anteproyectos / proyectos de obra (acompañada de la relación de bienes y derechos afectos y de la valoración de los mismos a efectos de los correspondientes procedimientos expropiatorios) y resto de documentación técnica necesaria para su ejecución.</w:t>
      </w:r>
    </w:p>
    <w:p w14:paraId="7A48D56E"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spacing w:val="-2"/>
        </w:rPr>
        <w:t>La tramitación del procedimiento expropiatorio a favor del Consorcio en su condición de beneficiario de las obras.</w:t>
      </w:r>
    </w:p>
    <w:p w14:paraId="5730C4A9"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asunción de los costes derivados de las expropiaciones.</w:t>
      </w:r>
    </w:p>
    <w:p w14:paraId="04F57039"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La licitación y adjudicación de las obras, sometiéndose la contratación a lo dispuesto en la Ley 9/2017, de 8 de noviembre, de Contratos del Sector Público. La licitación y adjudicación se publicarán en el Boletín Oficial de la Junta de Andalucía, y en su caso, en el Diario Oficial de la Unión Europea.</w:t>
      </w:r>
    </w:p>
    <w:p w14:paraId="56DEF29A"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El envío al Consorcio de la información correspondiente a la licitación, adjudicación, actas de replanteo, comienzo y finalización de las obras, así como la comunicación, en un plazo no inferio</w:t>
      </w:r>
      <w:r w:rsidRPr="00064336">
        <w:rPr>
          <w:rFonts w:ascii="AytoRoquetas Light Condensed" w:hAnsi="AytoRoquetas Light Condensed" w:cs="Source Sans Pro"/>
          <w:i/>
          <w:iCs/>
          <w:shd w:val="clear" w:color="auto" w:fill="FFFFFF"/>
        </w:rPr>
        <w:t xml:space="preserve">r a 15 </w:t>
      </w:r>
      <w:r w:rsidRPr="00064336">
        <w:rPr>
          <w:rFonts w:ascii="AytoRoquetas Light Condensed" w:hAnsi="AytoRoquetas Light Condensed" w:cs="Source Sans Pro"/>
          <w:i/>
          <w:iCs/>
        </w:rPr>
        <w:t>días, de la fecha en que tendrán lugar el acto de inicio y el acto de</w:t>
      </w:r>
      <w:r w:rsidRPr="00064336">
        <w:rPr>
          <w:rFonts w:ascii="AytoRoquetas Light Condensed" w:hAnsi="AytoRoquetas Light Condensed" w:cs="Source Sans Pro"/>
          <w:b/>
          <w:bCs/>
          <w:i/>
          <w:iCs/>
        </w:rPr>
        <w:t xml:space="preserve"> </w:t>
      </w:r>
      <w:r w:rsidRPr="00064336">
        <w:rPr>
          <w:rFonts w:ascii="AytoRoquetas Light Condensed" w:hAnsi="AytoRoquetas Light Condensed" w:cs="Source Sans Pro"/>
          <w:i/>
          <w:iCs/>
        </w:rPr>
        <w:t>recepción de las obras, para asegurar su asistencia.</w:t>
      </w:r>
    </w:p>
    <w:p w14:paraId="420DEB1E"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entrega al Consorcio de las instalaciones una vez finalizadas incluido el periodo de puesta en marcha, para su explotación, mantenimiento y conservación según lo indicado en la cláusula de Entrega de las instalaciones para su explotación.</w:t>
      </w:r>
    </w:p>
    <w:p w14:paraId="2B01AA54"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La presentación a la Comisión de Seguimiento con la periodicidad acordada en su seno de un informe sobre el seguimiento de la ejecución de las infraestructuras, con los hitos de desarrollo de las mismas.</w:t>
      </w:r>
    </w:p>
    <w:p w14:paraId="79F0167A" w14:textId="77777777" w:rsidR="005972FE" w:rsidRPr="00064336" w:rsidRDefault="005972FE" w:rsidP="005972FE">
      <w:pPr>
        <w:pStyle w:val="Standard"/>
        <w:tabs>
          <w:tab w:val="left" w:pos="338"/>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2.2- Corresponde al Consorcio para la Gestión del Ciclo Integral del Agua de Uso Urbano en el Poniente Almeriense:</w:t>
      </w:r>
    </w:p>
    <w:p w14:paraId="0A9B4ED8"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lastRenderedPageBreak/>
        <w:t xml:space="preserve">Todas aquellas obligaciones que según la legislación y normativa sectoriales en materia de aguas y de expropiación le correspondan en su condición de beneficiario de las obras. En concreto, le corresponden las contenidas en el artículo 5 del Decreto de 26 de abril de 1957, por el que se aprueba el Reglamento de Expropiación Forzosa, salvo aquellas a las que se compromete la Consejería de Agricultura, Ganadería, Pesca y Desarrollo Sostenible de la Junta de Andalucía mediante el presente Convenio. </w:t>
      </w:r>
      <w:r w:rsidRPr="00064336">
        <w:rPr>
          <w:rFonts w:ascii="AytoRoquetas Light Condensed" w:eastAsia="Times New Roman" w:hAnsi="AytoRoquetas Light Condensed" w:cs="Source Sans Pro"/>
          <w:i/>
          <w:iCs/>
          <w:sz w:val="22"/>
          <w:szCs w:val="22"/>
          <w:lang w:val="es-ES"/>
        </w:rPr>
        <w:t>Entre las anteriores, por la firma del presente y en su condición de beneficiario de la expropiación, solicita a la Consejería de Agricultura, Ganadería, Pesca y Desarrollo Sostenible de la Junta de Andalucía la iniciación del expediente expropiatorio a su favor, a los efectos previstos en el meritado Decreto de 26 de abril de 1957.</w:t>
      </w:r>
    </w:p>
    <w:p w14:paraId="032C6626"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eastAsia="Times New Roman" w:hAnsi="AytoRoquetas Light Condensed" w:cs="Source Sans Pro"/>
          <w:i/>
          <w:iCs/>
          <w:sz w:val="22"/>
          <w:szCs w:val="22"/>
          <w:lang w:val="es-ES"/>
        </w:rPr>
        <w:t xml:space="preserve">Facilitar y vehicular la puesta a disposición, previo al inicio de las obras, de la ocupación de aquellos terrenos, bienes y derechos de titularidad municipal afectados por las obras en cada término municipal, así como de aquellos otros terrenos, bienes y derechos en que los respectivos Ayuntamientos consigan la titularidad de manera acordada sin necesidad de expropiación, libres de derechos, servidumbres y cargas de cualquier naturaleza que impidan el cumplimiento del objeto del presente convenio. En todo caso, la puesta a disposición será libre de derechos, servidumbres y cargas para la Consejería y a este respecto el Ayuntamiento aportará a la Consejería certificación del </w:t>
      </w:r>
      <w:proofErr w:type="gramStart"/>
      <w:r w:rsidRPr="00064336">
        <w:rPr>
          <w:rFonts w:ascii="AytoRoquetas Light Condensed" w:eastAsia="Times New Roman" w:hAnsi="AytoRoquetas Light Condensed" w:cs="Source Sans Pro"/>
          <w:i/>
          <w:iCs/>
          <w:sz w:val="22"/>
          <w:szCs w:val="22"/>
          <w:lang w:val="es-ES"/>
        </w:rPr>
        <w:t>Secretario</w:t>
      </w:r>
      <w:proofErr w:type="gramEnd"/>
      <w:r w:rsidRPr="00064336">
        <w:rPr>
          <w:rFonts w:ascii="AytoRoquetas Light Condensed" w:eastAsia="Times New Roman" w:hAnsi="AytoRoquetas Light Condensed" w:cs="Source Sans Pro"/>
          <w:i/>
          <w:iCs/>
          <w:sz w:val="22"/>
          <w:szCs w:val="22"/>
          <w:lang w:val="es-ES"/>
        </w:rPr>
        <w:t xml:space="preserve"> del Ayuntamiento sobre la libre disposición de los mismos, así como una memoria en la que conste la depuración física y jurídica del bien o de los bienes.</w:t>
      </w:r>
    </w:p>
    <w:p w14:paraId="595783B0"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cs="Source Sans Pro"/>
          <w:i/>
          <w:iCs/>
          <w:sz w:val="22"/>
          <w:szCs w:val="22"/>
          <w:lang w:val="es-ES"/>
        </w:rPr>
      </w:pPr>
      <w:r w:rsidRPr="00064336">
        <w:rPr>
          <w:rFonts w:ascii="AytoRoquetas Light Condensed" w:hAnsi="AytoRoquetas Light Condensed" w:cs="Source Sans Pro"/>
          <w:i/>
          <w:iCs/>
          <w:sz w:val="22"/>
          <w:szCs w:val="22"/>
          <w:lang w:val="es-ES"/>
        </w:rPr>
        <w:t>Facilitar, gestionar y abonar todos aquellos permisos, licencias y autorizaciones necesarios por la naturaleza de las obras y para el funcionamiento de las mismas.</w:t>
      </w:r>
    </w:p>
    <w:p w14:paraId="0D63E683"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shd w:val="clear" w:color="auto" w:fill="FFFFFF"/>
          <w:lang w:val="es-ES"/>
        </w:rPr>
        <w:t>Aportar los contratos de suministro necesarios para la realización de las pruebas de funcionamiento por parte de la Consejería de Agricultura, Ganadería, Pesca y Desarrollo Sostenible con el tiempo suficiente para que la Consejería no tenga que incurrir en costos adicionales a los contemplados en este convenio (mantenimiento y vigilancia de las infraestructuras</w:t>
      </w:r>
      <w:r w:rsidRPr="00064336">
        <w:rPr>
          <w:rFonts w:ascii="AytoRoquetas Light Condensed" w:hAnsi="AytoRoquetas Light Condensed" w:cs="Source Sans Pro"/>
          <w:i/>
          <w:iCs/>
          <w:sz w:val="22"/>
          <w:szCs w:val="22"/>
          <w:lang w:val="es-ES"/>
        </w:rPr>
        <w:t>). Al efecto de los citados contratos de suministro, la Consejería aportará la documentación técnica de obra, a nombre del Consorcio, necesaria para la formalización de los mismos, y con tiempo suficiente para la tramitación administrativa de dichos contratos en el ámbito de sus competencias.</w:t>
      </w:r>
    </w:p>
    <w:p w14:paraId="4C8EE576"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La realización de las pruebas de las instalaciones en el caso de que la Consejería de Agricultura, Ganadería, Pesca y Desarrollo Sostenible no disponga de los contratos de suministro a tiempo. Se procederá entonces a la recepción de las obras por parte de la Consejería y posterior entrega de las instalaciones construidas al Consorcio, que a partir de ese momento tendrá como obligación la puesta en marcha de las infraestructuras y su posterior explotación.</w:t>
      </w:r>
    </w:p>
    <w:p w14:paraId="2105D0B6"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 xml:space="preserve">La explotación y adecuado mantenimiento de las infraestructuras una vez finalizadas, </w:t>
      </w:r>
      <w:proofErr w:type="spellStart"/>
      <w:r w:rsidRPr="00064336">
        <w:rPr>
          <w:rFonts w:ascii="AytoRoquetas Light Condensed" w:hAnsi="AytoRoquetas Light Condensed" w:cs="Source Sans Pro"/>
          <w:i/>
          <w:iCs/>
          <w:sz w:val="22"/>
          <w:szCs w:val="22"/>
          <w:lang w:val="es-ES"/>
        </w:rPr>
        <w:t>recepcionadas</w:t>
      </w:r>
      <w:proofErr w:type="spellEnd"/>
      <w:r w:rsidRPr="00064336">
        <w:rPr>
          <w:rFonts w:ascii="AytoRoquetas Light Condensed" w:hAnsi="AytoRoquetas Light Condensed" w:cs="Source Sans Pro"/>
          <w:i/>
          <w:iCs/>
          <w:sz w:val="22"/>
          <w:szCs w:val="22"/>
          <w:lang w:val="es-ES"/>
        </w:rPr>
        <w:t xml:space="preserve"> y notificada la entrega al Consorcio por la Consejería de Agricultura, Ganadería, Pesca y Desarrollo Sostenible, así como la garantía de su continuidad cumpliendo los </w:t>
      </w:r>
      <w:r w:rsidRPr="00064336">
        <w:rPr>
          <w:rFonts w:ascii="AytoRoquetas Light Condensed" w:hAnsi="AytoRoquetas Light Condensed" w:cs="Source Sans Pro"/>
          <w:i/>
          <w:iCs/>
          <w:sz w:val="22"/>
          <w:szCs w:val="22"/>
          <w:lang w:val="es-ES"/>
        </w:rPr>
        <w:lastRenderedPageBreak/>
        <w:t>parámetros de calidad establecidos en la autorización de vertido, en la Directiva 91/271/CEE y en la Directiva 2000/60/CE, todo lo anterior en concordancia con los resultados acreditados en las pruebas de funcionamiento de las instalaciones realizadas para la recepción de las mismas.</w:t>
      </w:r>
    </w:p>
    <w:p w14:paraId="77249EB8"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El seguimiento y controles periódicos precisos para dar cumplimiento adecuado a las obligaciones establecidas en el Real Decreto-Ley 11/1995, de 28 de diciembre, en el Real Decreto 509/</w:t>
      </w:r>
      <w:proofErr w:type="gramStart"/>
      <w:r w:rsidRPr="00064336">
        <w:rPr>
          <w:rFonts w:ascii="AytoRoquetas Light Condensed" w:hAnsi="AytoRoquetas Light Condensed" w:cs="Source Sans Pro"/>
          <w:i/>
          <w:iCs/>
          <w:sz w:val="22"/>
          <w:szCs w:val="22"/>
          <w:lang w:val="es-ES"/>
        </w:rPr>
        <w:t>1996 ,</w:t>
      </w:r>
      <w:proofErr w:type="gramEnd"/>
      <w:r w:rsidRPr="00064336">
        <w:rPr>
          <w:rFonts w:ascii="AytoRoquetas Light Condensed" w:hAnsi="AytoRoquetas Light Condensed" w:cs="Source Sans Pro"/>
          <w:i/>
          <w:iCs/>
          <w:sz w:val="22"/>
          <w:szCs w:val="22"/>
          <w:lang w:val="es-ES"/>
        </w:rPr>
        <w:t xml:space="preserve"> de 15 de marzo, de desarrollo del citado Real Decreto-Ley, con sujeción a los parámetros y métodos de referencia establecidos en dicha normativa, en virtud del Decreto 310/2003, de 4 de noviembre (artículo 3.3 y, en su caso, Disposición Transitoria Única).</w:t>
      </w:r>
    </w:p>
    <w:p w14:paraId="52E9F96B"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cs="Source Sans Pro"/>
          <w:i/>
          <w:iCs/>
          <w:sz w:val="22"/>
          <w:szCs w:val="22"/>
          <w:lang w:val="es-ES"/>
        </w:rPr>
      </w:pPr>
      <w:r w:rsidRPr="00064336">
        <w:rPr>
          <w:rFonts w:ascii="AytoRoquetas Light Condensed" w:hAnsi="AytoRoquetas Light Condensed" w:cs="Source Sans Pro"/>
          <w:i/>
          <w:iCs/>
          <w:sz w:val="22"/>
          <w:szCs w:val="22"/>
          <w:lang w:val="es-ES"/>
        </w:rPr>
        <w:t>La realización a su costa, como administración competente en el servicio de saneamiento y depuración, de las reparaciones, mejoras y ampliaciones de las infraestructuras construidas que se requieran para garantizar su adecuado mantenimiento y explotación, así como de aquellas actuaciones necesarias en el futuro para garantizar el cumplimiento de la Directiva 2000/60/CE.</w:t>
      </w:r>
    </w:p>
    <w:p w14:paraId="75127262" w14:textId="77777777" w:rsidR="005972FE" w:rsidRPr="00064336" w:rsidRDefault="005972FE" w:rsidP="005972FE">
      <w:pPr>
        <w:pStyle w:val="Textoindependiente21"/>
        <w:widowControl/>
        <w:numPr>
          <w:ilvl w:val="0"/>
          <w:numId w:val="4"/>
        </w:numPr>
        <w:suppressAutoHyphens w:val="0"/>
        <w:spacing w:line="288" w:lineRule="auto"/>
        <w:ind w:left="0" w:firstLine="0"/>
        <w:rPr>
          <w:rFonts w:ascii="AytoRoquetas Light Condensed" w:hAnsi="AytoRoquetas Light Condensed"/>
          <w:i/>
          <w:iCs/>
          <w:sz w:val="22"/>
          <w:szCs w:val="22"/>
          <w:lang w:val="es-ES"/>
        </w:rPr>
      </w:pPr>
      <w:r w:rsidRPr="00064336">
        <w:rPr>
          <w:rFonts w:ascii="AytoRoquetas Light Condensed" w:hAnsi="AytoRoquetas Light Condensed" w:cs="Source Sans Pro"/>
          <w:i/>
          <w:iCs/>
          <w:sz w:val="22"/>
          <w:szCs w:val="22"/>
          <w:lang w:val="es-ES"/>
        </w:rPr>
        <w:t>La aprobación y, en su caso, revisión y adaptación del Reglamento de prestación del servicio público de depuración de aguas y aprobación de la correspondiente tarifa o tasa de depuración con carácter previo a la firma del acta de replanteo, en cumplimiento del principio de recuperación de costes y, en su caso, la aprobación de la correspondiente Ordenanza de vertidos o su modificación para la efectiva prestación del servicio. La mencionada tasa o tarifa deberá cubrir tanto la explotación como el adecuado mantenimiento de las infraestructuras.</w:t>
      </w:r>
    </w:p>
    <w:p w14:paraId="5FBB04BF"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2.3- Los compromisos de </w:t>
      </w:r>
      <w:proofErr w:type="gramStart"/>
      <w:r w:rsidRPr="00064336">
        <w:rPr>
          <w:rFonts w:ascii="AytoRoquetas Light Condensed" w:hAnsi="AytoRoquetas Light Condensed" w:cs="Source Sans Pro"/>
          <w:i/>
          <w:iCs/>
        </w:rPr>
        <w:t>las partes contenidos</w:t>
      </w:r>
      <w:proofErr w:type="gramEnd"/>
      <w:r w:rsidRPr="00064336">
        <w:rPr>
          <w:rFonts w:ascii="AytoRoquetas Light Condensed" w:hAnsi="AytoRoquetas Light Condensed" w:cs="Source Sans Pro"/>
          <w:i/>
          <w:iCs/>
        </w:rPr>
        <w:t xml:space="preserve"> en el presente convenio serán extensivos a los modificados del proyecto de construcción, que solo podrán ser los previstos en el pliego de cláusulas administrativas particulares del expediente de contratación.</w:t>
      </w:r>
    </w:p>
    <w:p w14:paraId="24B20A00"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Tercera- Incumplimiento de los compromisos asumidos por las partes.</w:t>
      </w:r>
    </w:p>
    <w:p w14:paraId="5D366A14" w14:textId="77777777" w:rsidR="005972FE" w:rsidRPr="00064336" w:rsidRDefault="005972FE" w:rsidP="005972FE">
      <w:pPr>
        <w:pStyle w:val="tx-titulo-2-al-izquierda5"/>
        <w:tabs>
          <w:tab w:val="left" w:pos="281"/>
          <w:tab w:val="left" w:pos="338"/>
          <w:tab w:val="left" w:pos="506"/>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eastAsia="Times New Roman" w:hAnsi="AytoRoquetas Light Condensed" w:cs="Source Sans Pro"/>
          <w:b w:val="0"/>
          <w:bCs w:val="0"/>
          <w:i/>
          <w:iCs/>
          <w:color w:val="00000A"/>
          <w:sz w:val="22"/>
          <w:szCs w:val="22"/>
        </w:rPr>
        <w:t>3.1- Si</w:t>
      </w:r>
      <w:r w:rsidRPr="00064336">
        <w:rPr>
          <w:rFonts w:ascii="AytoRoquetas Light Condensed" w:hAnsi="AytoRoquetas Light Condensed" w:cs="Source Sans Pro"/>
          <w:b w:val="0"/>
          <w:bCs w:val="0"/>
          <w:i/>
          <w:iCs/>
          <w:color w:val="00000A"/>
          <w:sz w:val="22"/>
          <w:szCs w:val="22"/>
        </w:rPr>
        <w:t xml:space="preserve"> </w:t>
      </w:r>
      <w:r w:rsidRPr="00064336">
        <w:rPr>
          <w:rFonts w:ascii="AytoRoquetas Light Condensed" w:eastAsia="Times New Roman" w:hAnsi="AytoRoquetas Light Condensed" w:cs="Source Sans Pro"/>
          <w:b w:val="0"/>
          <w:bCs w:val="0"/>
          <w:i/>
          <w:iCs/>
          <w:color w:val="00000A"/>
          <w:sz w:val="22"/>
          <w:szCs w:val="22"/>
        </w:rPr>
        <w:t>uno</w:t>
      </w:r>
      <w:r w:rsidRPr="00064336">
        <w:rPr>
          <w:rFonts w:ascii="AytoRoquetas Light Condensed" w:hAnsi="AytoRoquetas Light Condensed" w:cs="Source Sans Pro"/>
          <w:b w:val="0"/>
          <w:bCs w:val="0"/>
          <w:i/>
          <w:iCs/>
          <w:color w:val="00000A"/>
          <w:sz w:val="22"/>
          <w:szCs w:val="22"/>
        </w:rPr>
        <w:t xml:space="preserve"> de los firmantes incumpliera alguno de los compromisos asumidos en el presente convenio, ya sea por retraso en la realización del compromiso o por realización incompleta o defectuosa, será requerido motivadamente por la otra parte para que subsane el incumplimiento.</w:t>
      </w:r>
    </w:p>
    <w:p w14:paraId="0B90776E" w14:textId="77777777" w:rsidR="005972FE" w:rsidRPr="00064336" w:rsidRDefault="005972FE" w:rsidP="005972FE">
      <w:pPr>
        <w:pStyle w:val="tx-titulo-2-al-izquierda5"/>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b w:val="0"/>
          <w:bCs w:val="0"/>
          <w:i/>
          <w:iCs/>
          <w:color w:val="00000A"/>
          <w:sz w:val="22"/>
          <w:szCs w:val="22"/>
        </w:rPr>
        <w:t xml:space="preserve">3.2- De </w:t>
      </w:r>
      <w:r w:rsidRPr="00064336">
        <w:rPr>
          <w:rFonts w:ascii="AytoRoquetas Light Condensed" w:eastAsia="Times New Roman" w:hAnsi="AytoRoquetas Light Condensed" w:cs="Source Sans Pro"/>
          <w:b w:val="0"/>
          <w:bCs w:val="0"/>
          <w:i/>
          <w:iCs/>
          <w:color w:val="00000A"/>
          <w:sz w:val="22"/>
          <w:szCs w:val="22"/>
        </w:rPr>
        <w:t>persistir</w:t>
      </w:r>
      <w:r w:rsidRPr="00064336">
        <w:rPr>
          <w:rFonts w:ascii="AytoRoquetas Light Condensed" w:hAnsi="AytoRoquetas Light Condensed" w:cs="Source Sans Pro"/>
          <w:b w:val="0"/>
          <w:bCs w:val="0"/>
          <w:i/>
          <w:iCs/>
          <w:color w:val="00000A"/>
          <w:sz w:val="22"/>
          <w:szCs w:val="22"/>
        </w:rPr>
        <w:t xml:space="preserve"> el incumplimiento transcurridos seis meses desde la fecha del requerimiento, la requirente podrá interponer recurso contencioso-administrativo, de conformidad con el artículo 29.1 Ley 29/1998, de 13 de julio, reguladora de la Jurisdicción Contencioso-Administrativa.</w:t>
      </w:r>
    </w:p>
    <w:p w14:paraId="40427B98" w14:textId="77777777" w:rsidR="005972FE" w:rsidRPr="00064336" w:rsidRDefault="005972FE" w:rsidP="005972FE">
      <w:pPr>
        <w:pStyle w:val="tx-titulo-2-al-izquierda5"/>
        <w:tabs>
          <w:tab w:val="left" w:pos="281"/>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b w:val="0"/>
          <w:bCs w:val="0"/>
          <w:i/>
          <w:iCs/>
          <w:color w:val="00000A"/>
          <w:sz w:val="22"/>
          <w:szCs w:val="22"/>
        </w:rPr>
        <w:t>3.3- A los efectos del Real Decreto 515/2013, de 5 de julio, por el que se regulan los criterios y el procedimiento para determinar y repercutir las responsabilidades por incumplimiento del Derecho de la Unión Europea, en relación con la Directiva 91/271/CEE sobre tratamiento de aguas residuales urbanas, el presente Convenio no supone alteración alguna de la competencia que sobre saneamiento y depuración de aguas residuales urbanas contempla el ordenamiento jurídico español.</w:t>
      </w:r>
    </w:p>
    <w:p w14:paraId="518C5EBE" w14:textId="77777777" w:rsidR="005972FE" w:rsidRPr="00064336" w:rsidRDefault="005972FE" w:rsidP="005972FE">
      <w:pPr>
        <w:pStyle w:val="tx-titulo-2-al-izquierda5"/>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b w:val="0"/>
          <w:bCs w:val="0"/>
          <w:i/>
          <w:iCs/>
          <w:color w:val="000000"/>
          <w:sz w:val="22"/>
          <w:szCs w:val="22"/>
        </w:rPr>
        <w:lastRenderedPageBreak/>
        <w:t>3.4- Los apartados anteriores de la presente cláusula se aplicarán sin perjuicio de lo establecido en la cláusula de causas de extinción del convenio, que contempla como causa de resolución la persistencia en el incumplimiento de los compromisos.</w:t>
      </w:r>
      <w:r w:rsidRPr="00064336">
        <w:rPr>
          <w:rFonts w:ascii="AytoRoquetas Light Condensed" w:hAnsi="AytoRoquetas Light Condensed"/>
          <w:i/>
          <w:iCs/>
          <w:sz w:val="22"/>
          <w:szCs w:val="22"/>
        </w:rPr>
        <w:tab/>
      </w:r>
    </w:p>
    <w:p w14:paraId="111B87C7"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Cuarta- Financiación de las obras y abonos de las indemnizaciones por expropiaciones de bienes y derechos afectados por las mismas.</w:t>
      </w:r>
    </w:p>
    <w:p w14:paraId="68348E38" w14:textId="77777777" w:rsidR="005972FE" w:rsidRPr="00064336" w:rsidRDefault="005972FE" w:rsidP="005972FE">
      <w:pPr>
        <w:pStyle w:val="Standard"/>
        <w:tabs>
          <w:tab w:val="left" w:pos="394"/>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4.1- Para la ejecución de las infraestructuras </w:t>
      </w:r>
      <w:r w:rsidRPr="00064336">
        <w:rPr>
          <w:rFonts w:ascii="AytoRoquetas Light Condensed" w:hAnsi="AytoRoquetas Light Condensed" w:cs="Source Sans Pro"/>
          <w:i/>
          <w:iCs/>
          <w:shd w:val="clear" w:color="auto" w:fill="FFFFFF"/>
        </w:rPr>
        <w:t>y los abonos de las indemnizaciones por expropiaciones de bienes y derechos afectados por las obras</w:t>
      </w:r>
      <w:r w:rsidRPr="00064336">
        <w:rPr>
          <w:rFonts w:ascii="AytoRoquetas Light Condensed" w:hAnsi="AytoRoquetas Light Condensed" w:cs="Source Sans Pro"/>
          <w:i/>
          <w:iCs/>
        </w:rPr>
        <w:t>, la Consejería de Agricultura, Ganadería, Pesca y Desarrollo Sostenible contará con los recursos económicos procedentes del canon de mejora de infraestructuras hidráulicas de interés de la Comunidad Autónoma de Andalucía.</w:t>
      </w:r>
    </w:p>
    <w:p w14:paraId="4340EBA3" w14:textId="77777777" w:rsidR="005972FE" w:rsidRPr="00064336" w:rsidRDefault="005972FE" w:rsidP="005972FE">
      <w:pPr>
        <w:pStyle w:val="al-justificada3"/>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4.2- Las aportaciones financieras que la Consejería de Agricultura, Ganadería, Pesca y Desarrollo Sostenible se compromete a realizar no podrán ser superiores a los gastos derivados de la ejecución del convenio.</w:t>
      </w:r>
    </w:p>
    <w:p w14:paraId="2C9C9845" w14:textId="77777777" w:rsidR="005972FE" w:rsidRPr="00064336" w:rsidRDefault="005972FE" w:rsidP="005972FE">
      <w:pPr>
        <w:pStyle w:val="al-justificada3"/>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4.3- Para la ejecución de las obras de «Ampliación de la EDAR de Roquetas de Mar» el presupuesto estimado asciende a treinta y ocho millones quinientos mil euros (38.500.000 euros, incluido IVA 21%).</w:t>
      </w:r>
    </w:p>
    <w:p w14:paraId="0E8A508F" w14:textId="77777777" w:rsidR="005972FE" w:rsidRPr="00064336" w:rsidRDefault="005972FE" w:rsidP="005972FE">
      <w:pPr>
        <w:pStyle w:val="al-justificada3"/>
        <w:tabs>
          <w:tab w:val="left" w:pos="394"/>
          <w:tab w:val="left" w:pos="450"/>
        </w:tabs>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0"/>
          <w:sz w:val="22"/>
          <w:szCs w:val="22"/>
        </w:rPr>
        <w:t>4.4- La partida presupuestaria, código de proyecto y anualidades estimadas son los siguientes:</w:t>
      </w:r>
    </w:p>
    <w:p w14:paraId="6B4127FB"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130020</w:t>
      </w:r>
      <w:r w:rsidRPr="00064336">
        <w:rPr>
          <w:rFonts w:ascii="AytoRoquetas Light Condensed" w:hAnsi="AytoRoquetas Light Condensed" w:cs="Source Sans Pro"/>
          <w:i/>
          <w:iCs/>
          <w:shd w:val="clear" w:color="auto" w:fill="FFFFFF"/>
        </w:rPr>
        <w:t xml:space="preserve">8141 </w:t>
      </w:r>
      <w:proofErr w:type="gramStart"/>
      <w:r w:rsidRPr="00064336">
        <w:rPr>
          <w:rFonts w:ascii="AytoRoquetas Light Condensed" w:hAnsi="AytoRoquetas Light Condensed" w:cs="Source Sans Pro"/>
          <w:i/>
          <w:iCs/>
          <w:shd w:val="clear" w:color="auto" w:fill="FFFFFF"/>
        </w:rPr>
        <w:t>G</w:t>
      </w:r>
      <w:proofErr w:type="gramEnd"/>
      <w:r w:rsidRPr="00064336">
        <w:rPr>
          <w:rFonts w:ascii="AytoRoquetas Light Condensed" w:hAnsi="AytoRoquetas Light Condensed" w:cs="Source Sans Pro"/>
          <w:i/>
          <w:iCs/>
          <w:shd w:val="clear" w:color="auto" w:fill="FFFFFF"/>
        </w:rPr>
        <w:t xml:space="preserve">/51D/61010/00 OIF2000 2014000393   </w:t>
      </w:r>
    </w:p>
    <w:p w14:paraId="3DA7C491"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shd w:val="clear" w:color="auto" w:fill="FFFFFF"/>
        </w:rPr>
      </w:pPr>
      <w:r w:rsidRPr="00064336">
        <w:rPr>
          <w:rFonts w:ascii="AytoRoquetas Light Condensed" w:hAnsi="AytoRoquetas Light Condensed" w:cs="Source Sans Pro"/>
          <w:i/>
          <w:iCs/>
          <w:shd w:val="clear" w:color="auto" w:fill="FFFFFF"/>
        </w:rPr>
        <w:t>Código de proyecto: 2014000393</w:t>
      </w:r>
    </w:p>
    <w:p w14:paraId="682CB63B"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Anualidades estimadas: 2023-2025</w:t>
      </w:r>
    </w:p>
    <w:p w14:paraId="1657E12F"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proofErr w:type="gramStart"/>
      <w:r w:rsidRPr="00064336">
        <w:rPr>
          <w:rFonts w:ascii="AytoRoquetas Light Condensed" w:hAnsi="AytoRoquetas Light Condensed" w:cs="Source Sans Pro"/>
          <w:i/>
          <w:iCs/>
        </w:rPr>
        <w:t>La distribución temporal de anualidades podrán</w:t>
      </w:r>
      <w:proofErr w:type="gramEnd"/>
      <w:r w:rsidRPr="00064336">
        <w:rPr>
          <w:rFonts w:ascii="AytoRoquetas Light Condensed" w:hAnsi="AytoRoquetas Light Condensed" w:cs="Source Sans Pro"/>
          <w:i/>
          <w:iCs/>
        </w:rPr>
        <w:t xml:space="preserve"> ser sujetas a reajuste en función de las necesidades reales en el orden económico que el normal desarrollo de las infraestructuras exija.</w:t>
      </w:r>
    </w:p>
    <w:p w14:paraId="44668331" w14:textId="77777777" w:rsidR="005972FE" w:rsidRPr="00064336" w:rsidRDefault="005972FE" w:rsidP="005972FE">
      <w:pPr>
        <w:pStyle w:val="Standard"/>
        <w:tabs>
          <w:tab w:val="left" w:pos="450"/>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4.5- La financiación de las obras </w:t>
      </w:r>
      <w:r w:rsidRPr="00064336">
        <w:rPr>
          <w:rFonts w:ascii="AytoRoquetas Light Condensed" w:hAnsi="AytoRoquetas Light Condensed" w:cs="Source Sans Pro"/>
          <w:i/>
          <w:iCs/>
          <w:shd w:val="clear" w:color="auto" w:fill="FFFFFF"/>
        </w:rPr>
        <w:t>y los abonos de las indemnizaciones por expropiaciones de bienes y derechos afectados por las obras</w:t>
      </w:r>
      <w:r w:rsidRPr="00064336">
        <w:rPr>
          <w:rFonts w:ascii="AytoRoquetas Light Condensed" w:hAnsi="AytoRoquetas Light Condensed" w:cs="Source Sans Pro"/>
          <w:i/>
          <w:iCs/>
        </w:rPr>
        <w:t>, por parte de la Consejería de Agricultura, Ganadería, Pesca y Desarrollo Sostenible, estarán limitados a las disponibilidades presupuestarias existentes, debiendo someterse a fiscalización previa los correspondientes expedientes de gasto y debiendo someterse para su ejecución a lo establecido en la Ley 9/2017, de 8 de noviembre, de Contratos del Sector Público.</w:t>
      </w:r>
    </w:p>
    <w:p w14:paraId="2BC3D4B4" w14:textId="77777777" w:rsidR="005972FE" w:rsidRPr="00064336" w:rsidRDefault="005972FE" w:rsidP="005972FE">
      <w:pPr>
        <w:pStyle w:val="Standard"/>
        <w:tabs>
          <w:tab w:val="left" w:pos="450"/>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4.6- En todo caso, se estará a lo dispuesto en la Ley Orgánica 2/2012, de 27 de abril, de Estabilidad Presupuestaria y Sostenibilidad Financiera.</w:t>
      </w:r>
    </w:p>
    <w:p w14:paraId="12C3D86E"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rPr>
      </w:pPr>
      <w:r w:rsidRPr="00064336">
        <w:rPr>
          <w:rFonts w:ascii="AytoRoquetas Light Condensed" w:hAnsi="AytoRoquetas Light Condensed" w:cs="Source Sans Pro"/>
          <w:b/>
          <w:bCs/>
          <w:i/>
          <w:iCs/>
        </w:rPr>
        <w:t>Quinta- Entrega de las instalaciones para su explotación.</w:t>
      </w:r>
    </w:p>
    <w:p w14:paraId="7E52C208"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color w:val="000000"/>
        </w:rPr>
        <w:t xml:space="preserve">Una vez construidas las infraestructuras objeto de este convenio, </w:t>
      </w:r>
      <w:proofErr w:type="spellStart"/>
      <w:r w:rsidRPr="00064336">
        <w:rPr>
          <w:rFonts w:ascii="AytoRoquetas Light Condensed" w:hAnsi="AytoRoquetas Light Condensed" w:cs="Source Sans Pro"/>
          <w:i/>
          <w:iCs/>
          <w:color w:val="000000"/>
        </w:rPr>
        <w:t>recepcionadas</w:t>
      </w:r>
      <w:proofErr w:type="spellEnd"/>
      <w:r w:rsidRPr="00064336">
        <w:rPr>
          <w:rFonts w:ascii="AytoRoquetas Light Condensed" w:hAnsi="AytoRoquetas Light Condensed" w:cs="Source Sans Pro"/>
          <w:i/>
          <w:iCs/>
          <w:color w:val="000000"/>
        </w:rPr>
        <w:t xml:space="preserve"> las obras por la Consejería de Agricultura, Ganadería, Pesca y Desarrollo Sostenible (una vez realizada, en su caso, la recepción al contratista por el órgano contratante) y realizado el informe en el que conste la sujeción de las mismas al proyecto técnico, de conformidad con lo señalado en el artículo 31.5 de la Ley 9/2010, de 30 de julio, de Aguas de Andalucía, la Consejería preavisará al Consorcio con al menos quince días de antelación, la entrega de las instalaciones a dicho </w:t>
      </w:r>
      <w:r w:rsidRPr="00064336">
        <w:rPr>
          <w:rFonts w:ascii="AytoRoquetas Light Condensed" w:hAnsi="AytoRoquetas Light Condensed" w:cs="Source Sans Pro"/>
          <w:i/>
          <w:iCs/>
          <w:color w:val="000000"/>
        </w:rPr>
        <w:lastRenderedPageBreak/>
        <w:t>Consorcio, con objeto de que se realicen las observaciones que procedan. Cumplido este trámite, se notificará la puesta a disposición de las instalaciones a favor del mismo, entendiéndose entregada con esta notificación las infraestructuras construidas, pasando a ser desde ese momento de su responsabilidad la explotación, mantenimiento y conservación pudiéndose firmar un acta de entrega de las instalaciones por parte del Consorcio, sin perjuicio de la titularidad de las citadas instalaciones que pasan a ser de la Administración General del Estado en virtud de la cláusula  Cuarta, apartados 4.1 y 4.4 del convenio suscrito con fecha</w:t>
      </w:r>
      <w:r w:rsidRPr="00064336">
        <w:rPr>
          <w:rFonts w:ascii="AytoRoquetas Light Condensed" w:hAnsi="AytoRoquetas Light Condensed" w:cs="Source Sans Pro"/>
          <w:i/>
          <w:iCs/>
        </w:rPr>
        <w:t xml:space="preserve"> 28 de diciembre de 2021.</w:t>
      </w:r>
    </w:p>
    <w:p w14:paraId="47EAB773"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De conformidad con lo previsto en el artículo 29.6 de la Ley 9/2010, de 30 de julio, de Aguas de Andalucía, con la entrega de las instalaciones dejará de estar vigente la declaración de interés autonómico relativa a la infraestructura objeto del presente convenio.</w:t>
      </w:r>
    </w:p>
    <w:p w14:paraId="128C8B13"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rPr>
      </w:pPr>
      <w:r w:rsidRPr="00064336">
        <w:rPr>
          <w:rFonts w:ascii="AytoRoquetas Light Condensed" w:hAnsi="AytoRoquetas Light Condensed" w:cs="Source Sans Pro"/>
          <w:b/>
          <w:bCs/>
          <w:i/>
          <w:iCs/>
        </w:rPr>
        <w:t>Sexta- Comisión de seguimiento.</w:t>
      </w:r>
    </w:p>
    <w:p w14:paraId="34C018A4"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6.1- El órgano encargado de tutelar, en su caso, desde la perspectiva de la colaboración y la cooperación, la aplicación del presente Convenio de Colaboración, será la Comisión Mixta de Seguimiento, al amparo de los artículos 15 al 18 y 49 de la Ley 40/2015, de 1 de octubre, de Régimen Jurídico del Sector Público.</w:t>
      </w:r>
    </w:p>
    <w:p w14:paraId="487E2305"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6.2- La Comisión estará integrada por cuatro personas representantes, dos de las cuales lo serán en representación de la Consejería de Agricultura, Ganadería, Pesca y Desarrollo Sostenible y las otras dos en representación del Consorcio para la Gestión del Ciclo Integral del Agua de Uso Urbano en el Poniente Almeriense. Los dos representantes de la Consejería serán designados por la persona titular de la Dirección General de Infraestructuras del Agua, uno de los cuales ejercerá la Presidencia.</w:t>
      </w:r>
      <w:r w:rsidRPr="00064336">
        <w:rPr>
          <w:rFonts w:ascii="AytoRoquetas Light Condensed" w:hAnsi="AytoRoquetas Light Condensed" w:cs="Source Sans Pro"/>
          <w:i/>
          <w:iCs/>
          <w:color w:val="000000"/>
        </w:rPr>
        <w:t xml:space="preserve"> El </w:t>
      </w:r>
      <w:proofErr w:type="gramStart"/>
      <w:r w:rsidRPr="00064336">
        <w:rPr>
          <w:rFonts w:ascii="AytoRoquetas Light Condensed" w:hAnsi="AytoRoquetas Light Condensed" w:cs="Source Sans Pro"/>
          <w:i/>
          <w:iCs/>
          <w:color w:val="000000"/>
        </w:rPr>
        <w:t>Secretario</w:t>
      </w:r>
      <w:proofErr w:type="gramEnd"/>
      <w:r w:rsidRPr="00064336">
        <w:rPr>
          <w:rFonts w:ascii="AytoRoquetas Light Condensed" w:hAnsi="AytoRoquetas Light Condensed" w:cs="Source Sans Pro"/>
          <w:i/>
          <w:iCs/>
          <w:color w:val="000000"/>
        </w:rPr>
        <w:t xml:space="preserve"> de la Comisión será el funcionario de la Consejería de Agricultura, Ganadería, Pesca y Desarrollo Sostenible designado por la persona que ostente la Presidencia de dicha Comisión, que actuará con voz pero sin voto, pudiendo asumir la función de Secretario uno de los Vocales de la Comisión</w:t>
      </w:r>
      <w:r w:rsidRPr="00064336">
        <w:rPr>
          <w:rFonts w:ascii="AytoRoquetas Light Condensed" w:hAnsi="AytoRoquetas Light Condensed" w:cs="Source Sans Pro"/>
          <w:i/>
          <w:iCs/>
        </w:rPr>
        <w:t xml:space="preserve"> </w:t>
      </w:r>
      <w:r w:rsidRPr="00064336">
        <w:rPr>
          <w:rFonts w:ascii="AytoRoquetas Light Condensed" w:hAnsi="AytoRoquetas Light Condensed" w:cs="Source Sans Pro"/>
          <w:i/>
          <w:iCs/>
          <w:color w:val="000000"/>
        </w:rPr>
        <w:t>(manteniendo el voto que le corresponde en calidad de vocal)</w:t>
      </w:r>
      <w:r w:rsidRPr="00064336">
        <w:rPr>
          <w:rFonts w:ascii="AytoRoquetas Light Condensed" w:hAnsi="AytoRoquetas Light Condensed" w:cs="Source Sans Pro"/>
          <w:i/>
          <w:iCs/>
        </w:rPr>
        <w:t>.</w:t>
      </w:r>
    </w:p>
    <w:p w14:paraId="2A124FAF"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 xml:space="preserve">6.3- De común acuerdo entre las partes, a la Comisión de Seguimiento podrán asistir, con </w:t>
      </w:r>
      <w:proofErr w:type="gramStart"/>
      <w:r w:rsidRPr="00064336">
        <w:rPr>
          <w:rFonts w:ascii="AytoRoquetas Light Condensed" w:hAnsi="AytoRoquetas Light Condensed" w:cs="Source Sans Pro"/>
          <w:i/>
          <w:iCs/>
        </w:rPr>
        <w:t>voz</w:t>
      </w:r>
      <w:proofErr w:type="gramEnd"/>
      <w:r w:rsidRPr="00064336">
        <w:rPr>
          <w:rFonts w:ascii="AytoRoquetas Light Condensed" w:hAnsi="AytoRoquetas Light Condensed" w:cs="Source Sans Pro"/>
          <w:i/>
          <w:iCs/>
        </w:rPr>
        <w:t xml:space="preserve"> pero sin voto, el personal técnico que por razón de la materia cada parte considere necesarios.</w:t>
      </w:r>
    </w:p>
    <w:p w14:paraId="1B87B063"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 xml:space="preserve">6.4- En general, corresponde a la Comisión de Seguimiento la óptima coordinación entre las </w:t>
      </w:r>
      <w:proofErr w:type="gramStart"/>
      <w:r w:rsidRPr="00064336">
        <w:rPr>
          <w:rFonts w:ascii="AytoRoquetas Light Condensed" w:hAnsi="AytoRoquetas Light Condensed" w:cs="Source Sans Pro"/>
          <w:i/>
          <w:iCs/>
        </w:rPr>
        <w:t>partes</w:t>
      </w:r>
      <w:proofErr w:type="gramEnd"/>
      <w:r w:rsidRPr="00064336">
        <w:rPr>
          <w:rFonts w:ascii="AytoRoquetas Light Condensed" w:hAnsi="AytoRoquetas Light Condensed" w:cs="Source Sans Pro"/>
          <w:i/>
          <w:iCs/>
        </w:rPr>
        <w:t xml:space="preserve"> así como, en particular:</w:t>
      </w:r>
    </w:p>
    <w:p w14:paraId="3F868834"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Velar por la consecución de los objetivos propuestos y la ejecución de las actuaciones que en el Convenio se contemplan.</w:t>
      </w:r>
    </w:p>
    <w:p w14:paraId="2723FC3F"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Resolver los problemas de interpretación y cumplimiento que puedan plantearse respecto al Convenio.</w:t>
      </w:r>
    </w:p>
    <w:p w14:paraId="2A90D00F"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Proponer cuantas medidas complementarias se estimen necesarias para el mejor cumplimiento de los fines previstos.</w:t>
      </w:r>
    </w:p>
    <w:p w14:paraId="108A9AC1"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Efectuar el seguimiento y la evaluación de las acciones programadas.</w:t>
      </w:r>
    </w:p>
    <w:p w14:paraId="305FA6A5" w14:textId="77777777" w:rsidR="005972FE" w:rsidRPr="00064336" w:rsidRDefault="005972FE" w:rsidP="005972FE">
      <w:pPr>
        <w:pStyle w:val="Standard"/>
        <w:numPr>
          <w:ilvl w:val="0"/>
          <w:numId w:val="3"/>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lastRenderedPageBreak/>
        <w:t>Analizar y dirimir las cuestiones litigiosas que se planteen entre las partes en la ejecución del presente Convenio de Colaboración.</w:t>
      </w:r>
    </w:p>
    <w:p w14:paraId="6088DB2F"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 xml:space="preserve">6.5- La Comisión de Seguimiento se reunirá siempre que lo solicite cualquiera de las partes firmantes, debiendo elaborar acta de las sesiones que se celebren.  </w:t>
      </w:r>
    </w:p>
    <w:p w14:paraId="7D4D92B5"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6.6- La adopción de acuerdos por la Comisión de Seguimiento requerirá el consenso de las partes, que entre otros podrán determinar sus propias normas internas de funcionamiento.</w:t>
      </w:r>
    </w:p>
    <w:p w14:paraId="24021487" w14:textId="77777777" w:rsidR="005972FE" w:rsidRPr="00064336" w:rsidRDefault="005972FE" w:rsidP="005972FE">
      <w:pPr>
        <w:pStyle w:val="Standard"/>
        <w:tabs>
          <w:tab w:val="left" w:pos="450"/>
          <w:tab w:val="left" w:pos="506"/>
        </w:tabs>
        <w:suppressAutoHyphens w:val="0"/>
        <w:spacing w:line="288" w:lineRule="auto"/>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6.7- En caso de que la Comisión de Seguimiento proponga una modificación de este convenio, dicha modificación requerirá el acuerdo unánime de los firmantes.</w:t>
      </w:r>
    </w:p>
    <w:p w14:paraId="7EDA52BC"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rPr>
      </w:pPr>
      <w:r w:rsidRPr="00064336">
        <w:rPr>
          <w:rFonts w:ascii="AytoRoquetas Light Condensed" w:hAnsi="AytoRoquetas Light Condensed" w:cs="Source Sans Pro"/>
          <w:b/>
          <w:bCs/>
          <w:i/>
          <w:iCs/>
        </w:rPr>
        <w:t>Séptima- Información y divulgación.</w:t>
      </w:r>
    </w:p>
    <w:p w14:paraId="18A4F261"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La Consejería de Agricultura, Ganadería, Pesca y Desarrollo Sostenible y el Consorcio para la Gestión del Ciclo Integral del Agua de Uso Urbano en el Poniente Almeriense podrán realizar coordinadamente acciones de información y divulgación en el ámbito territorial del convenio</w:t>
      </w:r>
      <w:r w:rsidRPr="00064336">
        <w:rPr>
          <w:rFonts w:ascii="AytoRoquetas Light Condensed" w:hAnsi="AytoRoquetas Light Condensed" w:cs="Source Sans Pro"/>
          <w:i/>
          <w:iCs/>
          <w:color w:val="000000"/>
        </w:rPr>
        <w:t xml:space="preserve"> (municipios de El Ejido, La Mojonera, Roquetas de Mar, Vícar),</w:t>
      </w:r>
      <w:r w:rsidRPr="00064336">
        <w:rPr>
          <w:rFonts w:ascii="AytoRoquetas Light Condensed" w:hAnsi="AytoRoquetas Light Condensed" w:cs="Source Sans Pro"/>
          <w:i/>
          <w:iCs/>
        </w:rPr>
        <w:t xml:space="preserve"> que tendrán como objetivo sensibilizar a todos los sectores y colectivos sociales que guarden relación con el recurso agua sobre la importancia del buen uso urbano del agua, en la que expresamente figure la colaboración de la Consejería para la financiación y ejecución de las infraestructuras, con sujeción a las normas de identidad corporativa de las partes, tanto previo a la ejecución de las obras, como durante su ejecución o una vez finalizadas.</w:t>
      </w:r>
    </w:p>
    <w:p w14:paraId="0AF3454A"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La coordinación indicada implicará que cualquier acción de información o divulgación de cualquiera de las partes firmantes habrá de ser comunicada a la otra parte con una antelación mínima de 15 días.</w:t>
      </w:r>
    </w:p>
    <w:p w14:paraId="31B5D763"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b w:val="0"/>
          <w:bCs w:val="0"/>
          <w:i/>
          <w:iCs/>
          <w:color w:val="000000"/>
          <w:sz w:val="22"/>
          <w:szCs w:val="22"/>
        </w:rPr>
        <w:t>A este respecto y según establece el artículo 33 de la Ley 1/2015, de 21 de diciembre, del Presupuesto de la Comunidad Autónoma de Andalucía para el año 2016, aquella información, difusión y publicidad realizada por órganos de la Junta de Andalucía requerirán, entre otras cuestiones, el informe previo y vinculante de la Consejería competente en materia de comunicación institucional, así como la comunicación de los gastos previstos, con carácter previo, a la Consejería de Hacienda y Financiación Europea.</w:t>
      </w:r>
    </w:p>
    <w:p w14:paraId="2814D0F3"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Octava- Duración.</w:t>
      </w:r>
    </w:p>
    <w:p w14:paraId="41A0C7E7"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i/>
          <w:iCs/>
        </w:rPr>
        <w:t xml:space="preserve">El presente Convenio, que surtirá efectos a partir de la fecha de su firma, tendrá una duración de </w:t>
      </w:r>
      <w:r w:rsidRPr="00064336">
        <w:rPr>
          <w:rFonts w:ascii="AytoRoquetas Light Condensed" w:hAnsi="AytoRoquetas Light Condensed" w:cs="Source Sans Pro"/>
          <w:i/>
          <w:iCs/>
          <w:color w:val="000000"/>
        </w:rPr>
        <w:t>ocho años</w:t>
      </w:r>
      <w:r w:rsidRPr="00064336">
        <w:rPr>
          <w:rFonts w:ascii="AytoRoquetas Light Condensed" w:hAnsi="AytoRoquetas Light Condensed" w:cs="Source Sans Pro"/>
          <w:i/>
          <w:iCs/>
        </w:rPr>
        <w:t>, pudiendo prorrogarse hasta un máximo de cuatro años adicionales, de manera expresa y por escrito de las partes, siempre que se formalice con anterioridad a su fecha de vencimiento y con un plazo de preaviso de tres meses.</w:t>
      </w:r>
    </w:p>
    <w:p w14:paraId="5021C9A6"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i/>
          <w:iCs/>
          <w:color w:val="00000A"/>
          <w:sz w:val="22"/>
          <w:szCs w:val="22"/>
        </w:rPr>
      </w:pPr>
      <w:r w:rsidRPr="00064336">
        <w:rPr>
          <w:rFonts w:ascii="AytoRoquetas Light Condensed" w:hAnsi="AytoRoquetas Light Condensed" w:cs="Source Sans Pro"/>
          <w:i/>
          <w:iCs/>
          <w:color w:val="00000A"/>
          <w:sz w:val="22"/>
          <w:szCs w:val="22"/>
        </w:rPr>
        <w:t>Novena- Causa de modificación.</w:t>
      </w:r>
    </w:p>
    <w:p w14:paraId="3B41D240"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cs="Source Sans Pro"/>
          <w:b w:val="0"/>
          <w:bCs w:val="0"/>
          <w:i/>
          <w:iCs/>
          <w:color w:val="00000A"/>
          <w:sz w:val="22"/>
          <w:szCs w:val="22"/>
        </w:rPr>
      </w:pPr>
      <w:r w:rsidRPr="00064336">
        <w:rPr>
          <w:rFonts w:ascii="AytoRoquetas Light Condensed" w:hAnsi="AytoRoquetas Light Condensed" w:cs="Source Sans Pro"/>
          <w:b w:val="0"/>
          <w:bCs w:val="0"/>
          <w:i/>
          <w:iCs/>
          <w:color w:val="00000A"/>
          <w:sz w:val="22"/>
          <w:szCs w:val="22"/>
        </w:rPr>
        <w:t>En la ejecución del objeto del presente convenio se estará a lo dispuesto en la Ley Orgánica 2/2012, de 27 de abril, de Estabilidad Presupuestaria y Sostenibilidad Financiera, pudiendo su aplicación ser causa de modificación del presente convenio.</w:t>
      </w:r>
    </w:p>
    <w:p w14:paraId="672BBF22"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Décima- Causas de extinción.</w:t>
      </w:r>
    </w:p>
    <w:p w14:paraId="14506C0C"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lastRenderedPageBreak/>
        <w:t>La extinción del Convenio será por conclusión o cumplimiento del mismo y por resolución. Son causas de resolución anticipada:</w:t>
      </w:r>
    </w:p>
    <w:p w14:paraId="6C4DC307"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color w:val="000000"/>
        </w:rPr>
        <w:t>El acuerdo unánime de los firmantes, que deberá constar por escrito.</w:t>
      </w:r>
    </w:p>
    <w:p w14:paraId="7E3FC5FF"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finalización de las obras y del plazo de garantía de las mismas con anterioridad al plazo establecido en la cláusula de Duración.</w:t>
      </w:r>
    </w:p>
    <w:p w14:paraId="6F9BBB8C"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El incumplimiento de alguno de los compromisos sustanciales asumidos por parte de alguno de los firmantes, previo requerimiento motivado de la otra parte, que será comunicado a la Comisión de Seguimiento, para que en un plazo de seis meses la parte incumplidora cumpla los compromisos que se consideran incumplidos. Una vez transcurrido este plazo, y si persistiera el incumplimiento, la parte requirente notificará a los firmantes la concurrencia de la causa de resolución y se entenderá resuelto el convenio, salvo aplicación del apartado 52.3 de la Ley 40/2015 de Régimen Jurídico del Sector Público.</w:t>
      </w:r>
    </w:p>
    <w:p w14:paraId="4476EA10"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Decisión de cualquiera de las partes si sobreviniesen causas que impidiesen o dificultasen de forma significativa su ejecución, siempre que sea comunicada por escrito a la otra parte con una antelación mínima de un año.</w:t>
      </w:r>
    </w:p>
    <w:p w14:paraId="20FE3990"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i/>
          <w:iCs/>
        </w:rPr>
      </w:pPr>
      <w:r w:rsidRPr="00064336">
        <w:rPr>
          <w:rFonts w:ascii="AytoRoquetas Light Condensed" w:hAnsi="AytoRoquetas Light Condensed" w:cs="Source Sans Pro"/>
          <w:i/>
          <w:iCs/>
        </w:rPr>
        <w:t>La suspensión definitiva del proyecto, acordada de conformidad entre las partes</w:t>
      </w:r>
      <w:r w:rsidRPr="00064336">
        <w:rPr>
          <w:rFonts w:ascii="AytoRoquetas Light Condensed" w:hAnsi="AytoRoquetas Light Condensed" w:cs="Source Sans Pro"/>
          <w:i/>
          <w:iCs/>
          <w:color w:val="000000"/>
        </w:rPr>
        <w:t>, que deberá constar por escrito</w:t>
      </w:r>
      <w:r w:rsidRPr="00064336">
        <w:rPr>
          <w:rFonts w:ascii="AytoRoquetas Light Condensed" w:hAnsi="AytoRoquetas Light Condensed" w:cs="Source Sans Pro"/>
          <w:i/>
          <w:iCs/>
        </w:rPr>
        <w:t>.</w:t>
      </w:r>
    </w:p>
    <w:p w14:paraId="53F3034E"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Por decisión judicial firme declaratoria de la nulidad del convenio.</w:t>
      </w:r>
    </w:p>
    <w:p w14:paraId="2CD2B7CE" w14:textId="77777777" w:rsidR="005972FE" w:rsidRPr="00064336" w:rsidRDefault="005972FE" w:rsidP="005972FE">
      <w:pPr>
        <w:pStyle w:val="Standard"/>
        <w:numPr>
          <w:ilvl w:val="0"/>
          <w:numId w:val="2"/>
        </w:numPr>
        <w:suppressAutoHyphens w:val="0"/>
        <w:spacing w:line="288" w:lineRule="auto"/>
        <w:ind w:left="0" w:firstLine="0"/>
        <w:rPr>
          <w:rFonts w:ascii="AytoRoquetas Light Condensed" w:hAnsi="AytoRoquetas Light Condensed" w:cs="Source Sans Pro"/>
          <w:i/>
          <w:iCs/>
        </w:rPr>
      </w:pPr>
      <w:r w:rsidRPr="00064336">
        <w:rPr>
          <w:rFonts w:ascii="AytoRoquetas Light Condensed" w:hAnsi="AytoRoquetas Light Condensed" w:cs="Source Sans Pro"/>
          <w:i/>
          <w:iCs/>
        </w:rPr>
        <w:t>Cualquier otra causa que le sea de aplicación en virtud de la legislación vigente.</w:t>
      </w:r>
    </w:p>
    <w:p w14:paraId="2AE225F7" w14:textId="77777777" w:rsidR="005972FE" w:rsidRPr="00064336" w:rsidRDefault="005972FE" w:rsidP="005972FE">
      <w:pPr>
        <w:pStyle w:val="tx-titulo-2-al-izquierda5"/>
        <w:suppressAutoHyphens w:val="0"/>
        <w:spacing w:before="0" w:after="0" w:line="288" w:lineRule="auto"/>
        <w:jc w:val="both"/>
        <w:rPr>
          <w:rFonts w:ascii="AytoRoquetas Light Condensed" w:hAnsi="AytoRoquetas Light Condensed"/>
          <w:i/>
          <w:iCs/>
          <w:sz w:val="22"/>
          <w:szCs w:val="22"/>
        </w:rPr>
      </w:pPr>
      <w:r w:rsidRPr="00064336">
        <w:rPr>
          <w:rFonts w:ascii="AytoRoquetas Light Condensed" w:hAnsi="AytoRoquetas Light Condensed" w:cs="Source Sans Pro"/>
          <w:i/>
          <w:iCs/>
          <w:color w:val="00000A"/>
          <w:sz w:val="22"/>
          <w:szCs w:val="22"/>
        </w:rPr>
        <w:t>Decimoprimera- Naturaleza y régimen jurídico de aplicación.</w:t>
      </w:r>
    </w:p>
    <w:p w14:paraId="40D73D30"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El presente Convenio tiene naturaleza administrativa, siendo competente la jurisdicción contencioso-administrativa para conocer las cuestiones litigiosas que pudieran suscitarse con ocasión del mismo.</w:t>
      </w:r>
    </w:p>
    <w:p w14:paraId="1C5326B8"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En virtud de lo establecido en el artículo 6.1. de la Ley 9/2017, de 8 de noviembre, de Contratos del Sector Público, el presente Convenio queda fuera del ámbito de aplicación de la citada normativa, regulándose por sus propias cláusulas y se atendrá a las disposiciones de la Ley 40/2015, de 1 de octubre, de Régimen Jurídico del Sector Público, de la Ley 7/1985, de Bases de Régimen Local, de las Leyes Autonómicas 9/2007, de Administración de la Junta de Andalucía, 5/2010, de Autonomía Local de Andalucía, y 9/2010 de Aguas de Andalucía, así como del Texto Refundido de la Ley General de la Hacienda Pública de la Junta de Andalucía, aprobado por Decreto Legislativo 1/2010, de 2 de marzo y demás normativa de aplicación, todo ello sin perjuicio de la aplicación de los principios y criterios de la referida Ley de Contratos del Sector Público para resolver las dudas y lagunas que pudieran presentarse.</w:t>
      </w:r>
    </w:p>
    <w:p w14:paraId="3D0110E0" w14:textId="77777777" w:rsidR="005972FE" w:rsidRPr="00064336" w:rsidRDefault="005972FE" w:rsidP="005972FE">
      <w:pPr>
        <w:pStyle w:val="Standard"/>
        <w:suppressAutoHyphens w:val="0"/>
        <w:spacing w:line="288" w:lineRule="auto"/>
        <w:rPr>
          <w:rFonts w:ascii="AytoRoquetas Light Condensed" w:hAnsi="AytoRoquetas Light Condensed"/>
          <w:i/>
          <w:iCs/>
        </w:rPr>
      </w:pPr>
      <w:r w:rsidRPr="00064336">
        <w:rPr>
          <w:rFonts w:ascii="AytoRoquetas Light Condensed" w:hAnsi="AytoRoquetas Light Condensed" w:cs="Source Sans Pro"/>
          <w:b/>
          <w:bCs/>
          <w:i/>
          <w:iCs/>
        </w:rPr>
        <w:t>Decimosegunda- Remisión a la Cámara de Cuentas.</w:t>
      </w:r>
    </w:p>
    <w:p w14:paraId="6CF12568"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 xml:space="preserve">Una vez suscrito este Convenio, y en el plazo máximo de tres meses contados desde su suscripción, se remitirá electrónicamente a la Cámara de Cuentas. Igualmente se comunicarán </w:t>
      </w:r>
      <w:r w:rsidRPr="00064336">
        <w:rPr>
          <w:rFonts w:ascii="AytoRoquetas Light Condensed" w:hAnsi="AytoRoquetas Light Condensed" w:cs="Source Sans Pro"/>
          <w:i/>
          <w:iCs/>
          <w:color w:val="000000"/>
        </w:rPr>
        <w:lastRenderedPageBreak/>
        <w:t>las modificaciones, prórrogas o variaciones de los plazos establecidos, así como la alteración de los importes de los compromisos económicos asumidos y la extinción del mismo.</w:t>
      </w:r>
    </w:p>
    <w:p w14:paraId="7A350448"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color w:val="000000"/>
        </w:rPr>
      </w:pPr>
      <w:r w:rsidRPr="00064336">
        <w:rPr>
          <w:rFonts w:ascii="AytoRoquetas Light Condensed" w:hAnsi="AytoRoquetas Light Condensed" w:cs="Source Sans Pro"/>
          <w:b/>
          <w:bCs/>
          <w:i/>
          <w:iCs/>
          <w:color w:val="000000"/>
        </w:rPr>
        <w:t>Decimotercera- Protección de datos.</w:t>
      </w:r>
    </w:p>
    <w:p w14:paraId="5EF247F3"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En relación con el tratamiento de los datos de carácter personal, ambas entidades en el desarrollo de sus correspondientes actividades derivadas del presente Convenio, atenderán las disposiciones de obligado cumplimiento establecidas en la Ley Orgánica 3/2018, de 5 de diciembre, de Protección de Datos Personales y garantía de los derechos digitales, y el Real Decreto 1720/2007, de 21 de diciembre, por el que se aprueba el Reglamento de desarrollo de la Ley Orgánica 15/1999, de 13 de diciembre, de protección de datos de carácter personal. También será de aplicación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14:paraId="0FBF109E"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color w:val="000000"/>
        </w:rPr>
      </w:pPr>
      <w:r w:rsidRPr="00064336">
        <w:rPr>
          <w:rFonts w:ascii="AytoRoquetas Light Condensed" w:hAnsi="AytoRoquetas Light Condensed" w:cs="Source Sans Pro"/>
          <w:i/>
          <w:iCs/>
          <w:color w:val="000000"/>
        </w:rPr>
        <w:t>Este convenio se somete a lo dispuesto en el artículo 8.1.b) de la Ley 19/2013, de 9 de diciembre, de Transparencia, Acceso a la Información Pública y Buen Gobierno.</w:t>
      </w:r>
    </w:p>
    <w:p w14:paraId="2FED40FC" w14:textId="77777777" w:rsidR="005972FE" w:rsidRPr="00064336" w:rsidRDefault="005972FE" w:rsidP="005972FE">
      <w:pPr>
        <w:pStyle w:val="Standard"/>
        <w:suppressAutoHyphens w:val="0"/>
        <w:spacing w:line="288" w:lineRule="auto"/>
        <w:rPr>
          <w:rFonts w:ascii="AytoRoquetas Light Condensed" w:hAnsi="AytoRoquetas Light Condensed" w:cs="Source Sans Pro"/>
          <w:b/>
          <w:bCs/>
          <w:i/>
          <w:iCs/>
          <w:color w:val="000000"/>
        </w:rPr>
      </w:pPr>
      <w:r w:rsidRPr="00064336">
        <w:rPr>
          <w:rFonts w:ascii="AytoRoquetas Light Condensed" w:hAnsi="AytoRoquetas Light Condensed" w:cs="Source Sans Pro"/>
          <w:b/>
          <w:bCs/>
          <w:i/>
          <w:iCs/>
          <w:color w:val="000000"/>
        </w:rPr>
        <w:t>Decimocuarta- Publicación.</w:t>
      </w:r>
    </w:p>
    <w:p w14:paraId="3BE2D73E"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El presente Convenio de colaboración se publicará en el Boletín Oficial de la Junta de Andalucía.</w:t>
      </w:r>
    </w:p>
    <w:p w14:paraId="08683B3F" w14:textId="77777777" w:rsidR="005972FE" w:rsidRPr="00064336" w:rsidRDefault="005972FE" w:rsidP="005972FE">
      <w:pPr>
        <w:pStyle w:val="Standard"/>
        <w:suppressAutoHyphens w:val="0"/>
        <w:spacing w:line="288" w:lineRule="auto"/>
        <w:rPr>
          <w:rFonts w:ascii="AytoRoquetas Light Condensed" w:hAnsi="AytoRoquetas Light Condensed" w:cs="Source Sans Pro"/>
          <w:i/>
          <w:iCs/>
        </w:rPr>
      </w:pPr>
      <w:r w:rsidRPr="00064336">
        <w:rPr>
          <w:rFonts w:ascii="AytoRoquetas Light Condensed" w:hAnsi="AytoRoquetas Light Condensed" w:cs="Source Sans Pro"/>
          <w:i/>
          <w:iCs/>
        </w:rPr>
        <w:t>Y en prueba de conformidad con lo expuesto y convenido, en el ejercicio de las atribuciones de que son titulares, los firmantes suscriben el presente Convenio, por duplicado ejemplar, en el lugar y fecha al comienzo expresados.”</w:t>
      </w:r>
    </w:p>
    <w:p w14:paraId="21B58B92" w14:textId="77777777" w:rsidR="005972FE" w:rsidRPr="00064336" w:rsidRDefault="005972FE" w:rsidP="005972FE">
      <w:pPr>
        <w:pStyle w:val="Standard"/>
        <w:suppressAutoHyphens w:val="0"/>
        <w:spacing w:line="288" w:lineRule="auto"/>
        <w:rPr>
          <w:rFonts w:ascii="AytoRoquetas Light Condensed" w:hAnsi="AytoRoquetas Light Condensed"/>
          <w:i/>
          <w:iCs/>
        </w:rPr>
      </w:pPr>
    </w:p>
    <w:p w14:paraId="4CB835E8"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t>La JUNTA GENERAL ha resuelto:</w:t>
      </w:r>
    </w:p>
    <w:p w14:paraId="51F8E543" w14:textId="77777777" w:rsidR="005972FE" w:rsidRPr="00064336" w:rsidRDefault="005972FE" w:rsidP="005972FE">
      <w:pPr>
        <w:spacing w:after="0" w:line="288" w:lineRule="auto"/>
        <w:jc w:val="both"/>
        <w:rPr>
          <w:rFonts w:ascii="AytoRoquetas Light Condensed" w:hAnsi="AytoRoquetas Light Condensed" w:cs="Arial"/>
        </w:rPr>
      </w:pPr>
    </w:p>
    <w:p w14:paraId="54802F54"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r>
      <w:r w:rsidRPr="00064336">
        <w:rPr>
          <w:rFonts w:ascii="AytoRoquetas Light Condensed" w:hAnsi="AytoRoquetas Light Condensed" w:cs="Arial"/>
          <w:b/>
          <w:bCs/>
        </w:rPr>
        <w:t>Primero</w:t>
      </w:r>
      <w:r w:rsidRPr="00064336">
        <w:rPr>
          <w:rFonts w:ascii="AytoRoquetas Light Condensed" w:hAnsi="AytoRoquetas Light Condensed" w:cs="Arial"/>
        </w:rPr>
        <w:t>: APROBAR el Convenio entre la Consejería de Agricultura, Ganadería, Pesca y Desarrollo Sostenible y el CIAP para la Construcción, financiación y puesta en funcionamiento de infraestructuras hidráulicas de depuración de los municipios de El Ejido, La Mojonera, Roquetas de Mar y Vícar.</w:t>
      </w:r>
    </w:p>
    <w:p w14:paraId="54A48A3F" w14:textId="77777777" w:rsidR="005972FE" w:rsidRPr="00064336" w:rsidRDefault="005972FE" w:rsidP="005972FE">
      <w:pPr>
        <w:spacing w:after="0" w:line="288" w:lineRule="auto"/>
        <w:jc w:val="both"/>
        <w:rPr>
          <w:rFonts w:ascii="AytoRoquetas Light Condensed" w:hAnsi="AytoRoquetas Light Condensed" w:cs="Arial"/>
        </w:rPr>
      </w:pPr>
    </w:p>
    <w:p w14:paraId="47587FD5"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r>
      <w:r w:rsidRPr="00064336">
        <w:rPr>
          <w:rFonts w:ascii="AytoRoquetas Light Condensed" w:hAnsi="AytoRoquetas Light Condensed" w:cs="Arial"/>
          <w:b/>
          <w:bCs/>
        </w:rPr>
        <w:t>Segundo</w:t>
      </w:r>
      <w:r w:rsidRPr="00064336">
        <w:rPr>
          <w:rFonts w:ascii="AytoRoquetas Light Condensed" w:hAnsi="AytoRoquetas Light Condensed" w:cs="Arial"/>
        </w:rPr>
        <w:t xml:space="preserve">: AUTORIZAR al Sr. </w:t>
      </w:r>
      <w:proofErr w:type="gramStart"/>
      <w:r w:rsidRPr="00064336">
        <w:rPr>
          <w:rFonts w:ascii="AytoRoquetas Light Condensed" w:hAnsi="AytoRoquetas Light Condensed" w:cs="Arial"/>
        </w:rPr>
        <w:t>Presidente</w:t>
      </w:r>
      <w:proofErr w:type="gramEnd"/>
      <w:r w:rsidRPr="00064336">
        <w:rPr>
          <w:rFonts w:ascii="AytoRoquetas Light Condensed" w:hAnsi="AytoRoquetas Light Condensed" w:cs="Arial"/>
        </w:rPr>
        <w:t xml:space="preserve"> del Consorcio para la firma del citado convenio y cuántos documentos sean precisos para que el mismo se lleve a efecto.</w:t>
      </w:r>
    </w:p>
    <w:p w14:paraId="292CEC44" w14:textId="77777777" w:rsidR="005972FE" w:rsidRPr="00064336" w:rsidRDefault="005972FE" w:rsidP="005972FE">
      <w:pPr>
        <w:spacing w:after="0" w:line="288" w:lineRule="auto"/>
        <w:jc w:val="both"/>
        <w:rPr>
          <w:rFonts w:ascii="AytoRoquetas Light Condensed" w:hAnsi="AytoRoquetas Light Condensed" w:cs="Arial"/>
        </w:rPr>
      </w:pPr>
    </w:p>
    <w:p w14:paraId="3B70B708" w14:textId="77777777" w:rsidR="005972FE" w:rsidRPr="00064336" w:rsidRDefault="005972FE" w:rsidP="005972FE">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r>
      <w:r w:rsidRPr="00064336">
        <w:rPr>
          <w:rFonts w:ascii="AytoRoquetas Light Condensed" w:hAnsi="AytoRoquetas Light Condensed" w:cs="Arial"/>
          <w:b/>
          <w:bCs/>
        </w:rPr>
        <w:t>Tercero:</w:t>
      </w:r>
      <w:r w:rsidRPr="00064336">
        <w:rPr>
          <w:rFonts w:ascii="AytoRoquetas Light Condensed" w:hAnsi="AytoRoquetas Light Condensed" w:cs="Arial"/>
        </w:rPr>
        <w:t xml:space="preserve"> DAR TRASLADO del presente acuerdo a los ayuntamientos de El Ejido, La Mojonera, Roquetas de Mar y Vícar.</w:t>
      </w:r>
    </w:p>
    <w:p w14:paraId="6E2A8EF0" w14:textId="77777777" w:rsidR="005972FE" w:rsidRPr="00064336" w:rsidRDefault="005972FE" w:rsidP="005972FE">
      <w:pPr>
        <w:spacing w:after="0" w:line="288" w:lineRule="auto"/>
        <w:jc w:val="both"/>
        <w:rPr>
          <w:rFonts w:ascii="AytoRoquetas Light Condensed" w:hAnsi="AytoRoquetas Light Condensed" w:cs="Arial"/>
        </w:rPr>
      </w:pPr>
    </w:p>
    <w:p w14:paraId="2DCEF285" w14:textId="2F4E85C4" w:rsidR="008742EB" w:rsidRPr="005972FE" w:rsidRDefault="005972FE" w:rsidP="005972FE">
      <w:pPr>
        <w:pStyle w:val="Prrafodelista"/>
        <w:spacing w:after="0" w:line="288" w:lineRule="auto"/>
        <w:ind w:left="708"/>
        <w:rPr>
          <w:rFonts w:ascii="AytoRoquetas Light Condensed" w:hAnsi="AytoRoquetas Light Condensed"/>
        </w:rPr>
      </w:pPr>
      <w:r w:rsidRPr="00064336">
        <w:rPr>
          <w:rFonts w:ascii="AytoRoquetas Light Condensed" w:hAnsi="AytoRoquetas Light Condensed"/>
        </w:rPr>
        <w:t xml:space="preserve">La </w:t>
      </w:r>
      <w:r w:rsidRPr="00064336">
        <w:rPr>
          <w:rFonts w:ascii="AytoRoquetas Light Condensed" w:hAnsi="AytoRoquetas Light Condensed"/>
          <w:b/>
          <w:bCs/>
        </w:rPr>
        <w:t>JUNTA GENERAL</w:t>
      </w:r>
      <w:r w:rsidRPr="00064336">
        <w:rPr>
          <w:rFonts w:ascii="AytoRoquetas Light Condensed" w:hAnsi="AytoRoquetas Light Condensed"/>
        </w:rPr>
        <w:t xml:space="preserve"> ha resuelto aprobar la Proposición en todos sus términos.</w:t>
      </w:r>
      <w:r w:rsidR="008742EB">
        <w:rPr>
          <w:rFonts w:ascii="AytoRoquetas Light Condensed" w:hAnsi="AytoRoquetas Light Condensed"/>
          <w:iCs/>
        </w:rPr>
        <w:t>”</w:t>
      </w:r>
    </w:p>
    <w:p w14:paraId="773A9934" w14:textId="77777777" w:rsidR="008742EB" w:rsidRDefault="008742EB" w:rsidP="00B868B0">
      <w:pPr>
        <w:pStyle w:val="Predeterminado"/>
        <w:spacing w:line="288" w:lineRule="auto"/>
        <w:jc w:val="both"/>
        <w:rPr>
          <w:rFonts w:ascii="AytoRoquetas Light Condensed" w:hAnsi="AytoRoquetas Light Condensed"/>
          <w:i/>
          <w:sz w:val="22"/>
        </w:rPr>
      </w:pPr>
    </w:p>
    <w:p w14:paraId="1E144545" w14:textId="77777777" w:rsidR="008742EB" w:rsidRPr="008F25D4" w:rsidRDefault="008742EB" w:rsidP="00B868B0">
      <w:pPr>
        <w:pStyle w:val="Predeterminado"/>
        <w:spacing w:line="288" w:lineRule="auto"/>
        <w:jc w:val="both"/>
        <w:rPr>
          <w:rFonts w:ascii="AytoRoquetas Light Condensed" w:hAnsi="AytoRoquetas Light Condensed"/>
          <w:i/>
          <w:sz w:val="22"/>
        </w:rPr>
      </w:pPr>
    </w:p>
    <w:p w14:paraId="0AB238C5" w14:textId="77777777" w:rsidR="00983E6D" w:rsidRDefault="00983E6D">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lastRenderedPageBreak/>
        <w:tab/>
      </w:r>
      <w:r>
        <w:rPr>
          <w:rFonts w:ascii="AytoRoquetas Light Condensed" w:hAnsi="AytoRoquetas Light Condensed" w:cs="AytoRoquetas Light Condensed"/>
          <w:sz w:val="20"/>
          <w:szCs w:val="20"/>
        </w:rPr>
        <w:t xml:space="preserve">Frente a este Acuerdo,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w:t>
      </w:r>
      <w:proofErr w:type="spellStart"/>
      <w:r>
        <w:rPr>
          <w:rFonts w:ascii="AytoRoquetas Light Condensed" w:hAnsi="AytoRoquetas Light Condensed" w:cs="AytoRoquetas Light Condensed"/>
          <w:sz w:val="20"/>
          <w:szCs w:val="20"/>
        </w:rPr>
        <w:t>nº</w:t>
      </w:r>
      <w:proofErr w:type="spellEnd"/>
      <w:r>
        <w:rPr>
          <w:rFonts w:ascii="AytoRoquetas Light Condensed" w:hAnsi="AytoRoquetas Light Condensed" w:cs="AytoRoquetas Light Condensed"/>
          <w:sz w:val="20"/>
          <w:szCs w:val="20"/>
        </w:rPr>
        <w:t xml:space="preserve"> 236 de 2 de octubre de 2015), cabe interponer los siguientes</w:t>
      </w:r>
    </w:p>
    <w:p w14:paraId="723882BA" w14:textId="77777777" w:rsidR="00983E6D" w:rsidRDefault="00983E6D">
      <w:pPr>
        <w:spacing w:after="0" w:line="80" w:lineRule="atLeast"/>
        <w:ind w:firstLine="1134"/>
        <w:jc w:val="both"/>
        <w:rPr>
          <w:rFonts w:ascii="AytoRoquetas Light Condensed" w:hAnsi="AytoRoquetas Light Condensed" w:cs="AytoRoquetas Light Condensed"/>
          <w:sz w:val="20"/>
          <w:szCs w:val="20"/>
        </w:rPr>
      </w:pPr>
    </w:p>
    <w:p w14:paraId="7CFC1D5E" w14:textId="77777777" w:rsidR="00983E6D" w:rsidRDefault="00983E6D">
      <w:pPr>
        <w:jc w:val="center"/>
        <w:rPr>
          <w:rFonts w:ascii="AytoRoquetas Light Condensed" w:hAnsi="AytoRoquetas Light Condensed" w:cs="AytoRoquetas Light Condensed"/>
          <w:b/>
          <w:bCs/>
          <w:color w:val="000000"/>
          <w:sz w:val="20"/>
          <w:szCs w:val="20"/>
          <w:u w:val="single"/>
        </w:rPr>
      </w:pPr>
      <w:r>
        <w:rPr>
          <w:rFonts w:ascii="AytoRoquetas Light Condensed" w:hAnsi="AytoRoquetas Light Condensed" w:cs="AytoRoquetas Light Condensed"/>
          <w:b/>
          <w:bCs/>
          <w:color w:val="000000"/>
          <w:sz w:val="20"/>
          <w:szCs w:val="20"/>
          <w:u w:val="single"/>
        </w:rPr>
        <w:t>RECURSOS:</w:t>
      </w:r>
    </w:p>
    <w:p w14:paraId="6EFF8C77"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xml:space="preserve">•   Potestativo de Reposición: ante la </w:t>
      </w:r>
      <w:r w:rsidR="008742EB">
        <w:rPr>
          <w:rFonts w:ascii="AytoRoquetas Light Condensed" w:hAnsi="AytoRoquetas Light Condensed" w:cs="AytoRoquetas Light Condensed"/>
          <w:sz w:val="20"/>
          <w:szCs w:val="20"/>
        </w:rPr>
        <w:t>Junta General</w:t>
      </w:r>
      <w:r>
        <w:rPr>
          <w:rFonts w:ascii="AytoRoquetas Light Condensed" w:hAnsi="AytoRoquetas Light Condensed" w:cs="AytoRoquetas Light Condensed"/>
          <w:sz w:val="20"/>
          <w:szCs w:val="20"/>
        </w:rPr>
        <w:t>, en el plazo de un mes, desde el día siguiente a la notificación del acuerdo, de conformidad con lo establecido en el art. 52.1 de la Ley 7/1985, de 2 de abril y arts. 123 y 124 de la Ley 39/2015.</w:t>
      </w:r>
    </w:p>
    <w:p w14:paraId="5CBCB208"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xml:space="preserve">•   Contencioso-administrativo: ante el Juzgado de lo Contencioso-Administrativo con sede en Almería, en el plazo de dos meses, desde el día siguiente a la notificación del presente acto, (artículo 8 de la Ley 29/1998, de 13 de Julio, modificado mediante Ley Orgánica 19/2003, de 23 de </w:t>
      </w:r>
      <w:proofErr w:type="gramStart"/>
      <w:r>
        <w:rPr>
          <w:rFonts w:ascii="AytoRoquetas Light Condensed" w:hAnsi="AytoRoquetas Light Condensed" w:cs="AytoRoquetas Light Condensed"/>
          <w:sz w:val="20"/>
          <w:szCs w:val="20"/>
        </w:rPr>
        <w:t>Diciembre</w:t>
      </w:r>
      <w:proofErr w:type="gramEnd"/>
      <w:r>
        <w:rPr>
          <w:rFonts w:ascii="AytoRoquetas Light Condensed" w:hAnsi="AytoRoquetas Light Condensed" w:cs="AytoRoquetas Light Condensed"/>
          <w:sz w:val="20"/>
          <w:szCs w:val="20"/>
        </w:rPr>
        <w:t>) o de la Resolución del Recurso potestativo de reposición.</w:t>
      </w:r>
    </w:p>
    <w:p w14:paraId="4E06C009"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Cualquier otro que estime oportuno.</w:t>
      </w:r>
    </w:p>
    <w:p w14:paraId="7401FF05" w14:textId="77777777" w:rsidR="00983E6D" w:rsidRDefault="00983E6D">
      <w:pPr>
        <w:spacing w:after="0" w:line="80" w:lineRule="atLeast"/>
        <w:jc w:val="both"/>
        <w:rPr>
          <w:rFonts w:ascii="AytoRoquetas Light Condensed" w:hAnsi="AytoRoquetas Light Condensed" w:cs="AytoRoquetas Light Condensed"/>
          <w:sz w:val="20"/>
          <w:szCs w:val="20"/>
        </w:rPr>
      </w:pPr>
    </w:p>
    <w:p w14:paraId="0BA15649" w14:textId="77777777" w:rsidR="00983E6D" w:rsidRDefault="00983E6D">
      <w:pPr>
        <w:spacing w:after="0" w:line="80" w:lineRule="atLeast"/>
        <w:jc w:val="both"/>
        <w:rPr>
          <w:rFonts w:ascii="AytoRoquetas Light Condensed" w:hAnsi="AytoRoquetas Light Condensed" w:cs="AytoRoquetas Light Condensed"/>
          <w:sz w:val="20"/>
          <w:szCs w:val="20"/>
        </w:rPr>
      </w:pPr>
    </w:p>
    <w:p w14:paraId="4777DE8C"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b/>
        <w:t>Lo que comunica para su conocimiento y a los efectos indicados, con la salvedad establecida en el artículo 206 del R.O.F. y a reserva de la aprobación del Acta Correspondiente.</w:t>
      </w:r>
    </w:p>
    <w:p w14:paraId="5CA18B42"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p w14:paraId="3C683A1E" w14:textId="77777777" w:rsidR="00983E6D" w:rsidRPr="00B868B0" w:rsidRDefault="00983E6D" w:rsidP="00B868B0">
      <w:pPr>
        <w:spacing w:after="0" w:line="240" w:lineRule="auto"/>
        <w:ind w:firstLine="567"/>
        <w:jc w:val="both"/>
        <w:rPr>
          <w:rFonts w:ascii="AytoRoquetas Light Condensed" w:hAnsi="AytoRoquetas Light Condensed" w:cs="AytoRoquetas Light Condensed"/>
          <w:i/>
          <w:iCs/>
          <w:color w:val="000000"/>
          <w:sz w:val="20"/>
          <w:szCs w:val="20"/>
        </w:rPr>
      </w:pPr>
      <w:r w:rsidRPr="00B868B0">
        <w:rPr>
          <w:rFonts w:ascii="AytoRoquetas Light Condensed" w:hAnsi="AytoRoquetas Light Condensed" w:cs="AytoRoquetas Light Condensed"/>
          <w:i/>
          <w:iCs/>
          <w:color w:val="000000"/>
          <w:sz w:val="20"/>
          <w:szCs w:val="20"/>
        </w:rPr>
        <w:tab/>
        <w:t>El presente documento ha sido firmado electrónicamente de acuerdo con lo establecido en la Ley 40/2015, de 1 de octubre, de Régimen Jurídico del Sector Público, por la autoridad y ante el funcionario público en la fecha que se indica al margen del mismo, cuya autenticidad e integridad puede verificarse a través de código seguro que se inserta.</w:t>
      </w:r>
    </w:p>
    <w:p w14:paraId="058A7442"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sectPr w:rsidR="00983E6D">
      <w:headerReference w:type="default" r:id="rId7"/>
      <w:footerReference w:type="default" r:id="rId8"/>
      <w:pgSz w:w="11906" w:h="16838"/>
      <w:pgMar w:top="3119" w:right="1701" w:bottom="153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59FDC" w14:textId="77777777" w:rsidR="00FB2411" w:rsidRDefault="00FB2411">
      <w:pPr>
        <w:spacing w:after="0" w:line="240" w:lineRule="auto"/>
      </w:pPr>
      <w:r>
        <w:separator/>
      </w:r>
    </w:p>
  </w:endnote>
  <w:endnote w:type="continuationSeparator" w:id="0">
    <w:p w14:paraId="2A5684F1" w14:textId="77777777" w:rsidR="00FB2411" w:rsidRDefault="00FB2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0"/>
    <w:family w:val="roman"/>
    <w:pitch w:val="default"/>
    <w:sig w:usb0="00000003" w:usb1="00000000" w:usb2="00000000" w:usb3="00000000" w:csb0="00000001" w:csb1="00000000"/>
  </w:font>
  <w:font w:name="NewsGotT">
    <w:altName w:val="Calibri"/>
    <w:charset w:val="00"/>
    <w:family w:val="auto"/>
    <w:pitch w:val="variable"/>
  </w:font>
  <w:font w:name="AytoRoquetas Light Condensed">
    <w:panose1 w:val="020B0406020504020204"/>
    <w:charset w:val="00"/>
    <w:family w:val="swiss"/>
    <w:pitch w:val="variable"/>
    <w:sig w:usb0="00000007" w:usb1="00000000" w:usb2="00000000" w:usb3="00000000" w:csb0="00000011" w:csb1="00000000"/>
  </w:font>
  <w:font w:name="Source Sans Pro Semibold">
    <w:panose1 w:val="020B0603030403020204"/>
    <w:charset w:val="00"/>
    <w:family w:val="swiss"/>
    <w:pitch w:val="variable"/>
    <w:sig w:usb0="600002F7" w:usb1="02000001"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mn-ea">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18EF7" w14:textId="77777777" w:rsidR="00983E6D" w:rsidRDefault="00983E6D">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CAF6B" w14:textId="77777777" w:rsidR="00FB2411" w:rsidRDefault="00FB2411">
      <w:pPr>
        <w:spacing w:after="0" w:line="240" w:lineRule="auto"/>
      </w:pPr>
      <w:r>
        <w:separator/>
      </w:r>
    </w:p>
  </w:footnote>
  <w:footnote w:type="continuationSeparator" w:id="0">
    <w:p w14:paraId="6137D3DF" w14:textId="77777777" w:rsidR="00FB2411" w:rsidRDefault="00FB2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1B57" w14:textId="3ED4715C" w:rsidR="00983E6D" w:rsidRDefault="005972FE">
    <w:pPr>
      <w:pStyle w:val="Normal0"/>
      <w:widowControl/>
      <w:tabs>
        <w:tab w:val="left" w:pos="708"/>
        <w:tab w:val="center" w:pos="4252"/>
        <w:tab w:val="right" w:pos="8391"/>
      </w:tabs>
      <w:rPr>
        <w:sz w:val="20"/>
        <w:szCs w:val="20"/>
      </w:rPr>
    </w:pPr>
    <w:r>
      <w:rPr>
        <w:noProof/>
      </w:rPr>
      <w:drawing>
        <wp:anchor distT="0" distB="0" distL="0" distR="0" simplePos="0" relativeHeight="251659264" behindDoc="0" locked="0" layoutInCell="1" allowOverlap="1" wp14:anchorId="5A71066C" wp14:editId="30A82D09">
          <wp:simplePos x="0" y="0"/>
          <wp:positionH relativeFrom="column">
            <wp:posOffset>4320540</wp:posOffset>
          </wp:positionH>
          <wp:positionV relativeFrom="paragraph">
            <wp:posOffset>0</wp:posOffset>
          </wp:positionV>
          <wp:extent cx="1430020" cy="723265"/>
          <wp:effectExtent l="0" t="0" r="0" b="0"/>
          <wp:wrapSquare wrapText="bothSides"/>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02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60288" behindDoc="0" locked="0" layoutInCell="1" allowOverlap="1" wp14:anchorId="3D1049A8" wp14:editId="265E06FC">
              <wp:simplePos x="0" y="0"/>
              <wp:positionH relativeFrom="column">
                <wp:posOffset>-521970</wp:posOffset>
              </wp:positionH>
              <wp:positionV relativeFrom="paragraph">
                <wp:posOffset>0</wp:posOffset>
              </wp:positionV>
              <wp:extent cx="1828800" cy="687705"/>
              <wp:effectExtent l="0" t="0" r="0" b="0"/>
              <wp:wrapSquare wrapText="bothSides"/>
              <wp:docPr id="1"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BD942"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206A8DB9"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32CBB665"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4C20FF68"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049A8" id="_x0000_t202" coordsize="21600,21600" o:spt="202" path="m,l,21600r21600,l21600,xe">
              <v:stroke joinstyle="miter"/>
              <v:path gradientshapeok="t" o:connecttype="rect"/>
            </v:shapetype>
            <v:shape id="Cuadro de texto 8" o:spid="_x0000_s1026" type="#_x0000_t202" style="position:absolute;margin-left:-41.1pt;margin-top:0;width:2in;height:54.1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" stroked="f">
              <v:textbox>
                <w:txbxContent>
                  <w:p w14:paraId="2D1BD942"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206A8DB9"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32CBB665"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4C20FF68"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051C1"/>
    <w:multiLevelType w:val="multilevel"/>
    <w:tmpl w:val="638AFB48"/>
    <w:styleLink w:val="WW8Num5"/>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51741D6D"/>
    <w:multiLevelType w:val="multilevel"/>
    <w:tmpl w:val="269EE590"/>
    <w:styleLink w:val="WW8Num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5E715EEC"/>
    <w:multiLevelType w:val="multilevel"/>
    <w:tmpl w:val="9604B49A"/>
    <w:styleLink w:val="WW8Num4"/>
    <w:lvl w:ilvl="0">
      <w:numFmt w:val="bullet"/>
      <w:lvlText w:val="-"/>
      <w:lvlJc w:val="left"/>
      <w:pPr>
        <w:ind w:left="786" w:hanging="360"/>
      </w:pPr>
      <w:rPr>
        <w:rFonts w:ascii="Times New Roman" w:hAnsi="Times New Roman" w:cs="Times New Roman"/>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cs="Wingdings"/>
      </w:rPr>
    </w:lvl>
    <w:lvl w:ilvl="3">
      <w:numFmt w:val="bullet"/>
      <w:lvlText w:val=""/>
      <w:lvlJc w:val="left"/>
      <w:pPr>
        <w:ind w:left="2946" w:hanging="360"/>
      </w:pPr>
      <w:rPr>
        <w:rFonts w:ascii="Symbol" w:hAnsi="Symbol" w:cs="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cs="Wingdings"/>
      </w:rPr>
    </w:lvl>
    <w:lvl w:ilvl="6">
      <w:numFmt w:val="bullet"/>
      <w:lvlText w:val=""/>
      <w:lvlJc w:val="left"/>
      <w:pPr>
        <w:ind w:left="5106" w:hanging="360"/>
      </w:pPr>
      <w:rPr>
        <w:rFonts w:ascii="Symbol" w:hAnsi="Symbol" w:cs="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cs="Wingdings"/>
      </w:rPr>
    </w:lvl>
  </w:abstractNum>
  <w:abstractNum w:abstractNumId="3" w15:restartNumberingAfterBreak="0">
    <w:nsid w:val="756B55C7"/>
    <w:multiLevelType w:val="multilevel"/>
    <w:tmpl w:val="D6D8B4DE"/>
    <w:styleLink w:val="WW8Num2"/>
    <w:lvl w:ilvl="0">
      <w:start w:val="1"/>
      <w:numFmt w:val="upperRoman"/>
      <w:lvlText w:val="%1."/>
      <w:lvlJc w:val="left"/>
      <w:pPr>
        <w:ind w:left="720" w:hanging="720"/>
      </w:p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16cid:durableId="1243563498">
    <w:abstractNumId w:val="3"/>
  </w:num>
  <w:num w:numId="2" w16cid:durableId="1953853141">
    <w:abstractNumId w:val="1"/>
  </w:num>
  <w:num w:numId="3" w16cid:durableId="924798239">
    <w:abstractNumId w:val="2"/>
  </w:num>
  <w:num w:numId="4" w16cid:durableId="1754475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8B0"/>
    <w:rsid w:val="00443C9D"/>
    <w:rsid w:val="005972FE"/>
    <w:rsid w:val="00757CE9"/>
    <w:rsid w:val="008742EB"/>
    <w:rsid w:val="008F25D4"/>
    <w:rsid w:val="00983E6D"/>
    <w:rsid w:val="00A81D85"/>
    <w:rsid w:val="00AA52AE"/>
    <w:rsid w:val="00B868B0"/>
    <w:rsid w:val="00FB24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972428"/>
  <w14:defaultImageDpi w14:val="0"/>
  <w15:docId w15:val="{0E0D7A5C-F606-46D1-ABFA-568BD03D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9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8">
    <w:name w:val="Encabezado18"/>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Piedepgina4">
    <w:name w:val="Pie de página4"/>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character" w:customStyle="1" w:styleId="EncabezadoCar">
    <w:name w:val="Encabezado Car"/>
    <w:basedOn w:val="Fuentedeprrafopredeter"/>
    <w:uiPriority w:val="99"/>
    <w:rPr>
      <w:rFonts w:cs="Times New Roman"/>
    </w:rPr>
  </w:style>
  <w:style w:type="character" w:customStyle="1" w:styleId="PiedepginaCar">
    <w:name w:val="Pie de página Car"/>
    <w:basedOn w:val="Fuentedeprrafopredeter"/>
    <w:uiPriority w:val="99"/>
    <w:rPr>
      <w:rFonts w:cs="Times New Roman"/>
    </w:rPr>
  </w:style>
  <w:style w:type="character" w:customStyle="1" w:styleId="EncabezadoCar1">
    <w:name w:val="Encabezado Car1"/>
    <w:basedOn w:val="Fuentedeprrafopredeter"/>
    <w:uiPriority w:val="99"/>
    <w:rPr>
      <w:rFonts w:cs="Times New Roman"/>
      <w:sz w:val="22"/>
      <w:szCs w:val="22"/>
    </w:rPr>
  </w:style>
  <w:style w:type="character" w:customStyle="1" w:styleId="PiedepginaCar1">
    <w:name w:val="Pie de página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paragraph" w:customStyle="1" w:styleId="Predeterminado">
    <w:name w:val="Predeterminado"/>
    <w:basedOn w:val="Normal0"/>
    <w:uiPriority w:val="99"/>
    <w:rsid w:val="00B868B0"/>
    <w:pPr>
      <w:widowControl/>
    </w:pPr>
    <w:rPr>
      <w:rFonts w:ascii="Book Antiqua Bold" w:eastAsia="Times New Roman" w:cs="Book Antiqua Bold"/>
      <w:color w:val="000000"/>
      <w:sz w:val="18"/>
      <w:szCs w:val="18"/>
    </w:rPr>
  </w:style>
  <w:style w:type="paragraph" w:styleId="Prrafodelista">
    <w:name w:val="List Paragraph"/>
    <w:basedOn w:val="Normal"/>
    <w:uiPriority w:val="34"/>
    <w:qFormat/>
    <w:rsid w:val="005972FE"/>
    <w:pPr>
      <w:autoSpaceDE/>
      <w:autoSpaceDN/>
      <w:adjustRightInd/>
      <w:spacing w:after="160" w:line="259" w:lineRule="auto"/>
      <w:ind w:left="720"/>
      <w:contextualSpacing/>
    </w:pPr>
    <w:rPr>
      <w:rFonts w:eastAsia="Calibri" w:cs="Times New Roman"/>
      <w:lang w:eastAsia="en-US"/>
    </w:rPr>
  </w:style>
  <w:style w:type="paragraph" w:customStyle="1" w:styleId="Standard">
    <w:name w:val="Standard"/>
    <w:rsid w:val="005972FE"/>
    <w:pPr>
      <w:suppressAutoHyphens/>
      <w:autoSpaceDN w:val="0"/>
      <w:spacing w:after="0" w:line="240" w:lineRule="auto"/>
      <w:jc w:val="both"/>
      <w:textAlignment w:val="baseline"/>
    </w:pPr>
    <w:rPr>
      <w:rFonts w:ascii="Calibri" w:eastAsia="Times New Roman" w:hAnsi="Calibri" w:cs="Calibri"/>
      <w:color w:val="00000A"/>
      <w:kern w:val="3"/>
      <w:lang w:eastAsia="ar-SA"/>
    </w:rPr>
  </w:style>
  <w:style w:type="paragraph" w:customStyle="1" w:styleId="tx-titulo-2-al-izquierda5">
    <w:name w:val="tx-titulo-2-al-izquierda5"/>
    <w:basedOn w:val="Standard"/>
    <w:rsid w:val="005972FE"/>
    <w:pPr>
      <w:spacing w:before="280" w:after="280"/>
      <w:jc w:val="left"/>
    </w:pPr>
    <w:rPr>
      <w:rFonts w:ascii="Arial" w:eastAsia="Arial" w:hAnsi="Arial" w:cs="Arial"/>
      <w:b/>
      <w:bCs/>
      <w:color w:val="333333"/>
      <w:sz w:val="18"/>
      <w:szCs w:val="18"/>
    </w:rPr>
  </w:style>
  <w:style w:type="paragraph" w:customStyle="1" w:styleId="al-justificada3">
    <w:name w:val="al-justificada3"/>
    <w:basedOn w:val="Standard"/>
    <w:rsid w:val="005972FE"/>
    <w:pPr>
      <w:spacing w:before="280" w:after="280"/>
      <w:jc w:val="left"/>
    </w:pPr>
    <w:rPr>
      <w:color w:val="333333"/>
      <w:sz w:val="18"/>
      <w:szCs w:val="18"/>
    </w:rPr>
  </w:style>
  <w:style w:type="paragraph" w:customStyle="1" w:styleId="tx-titulo-1-al-centrada5">
    <w:name w:val="tx-titulo-1-al-centrada5"/>
    <w:basedOn w:val="Standard"/>
    <w:rsid w:val="005972FE"/>
    <w:pPr>
      <w:spacing w:before="280" w:after="280"/>
      <w:jc w:val="center"/>
    </w:pPr>
    <w:rPr>
      <w:rFonts w:ascii="Arial" w:eastAsia="Arial" w:hAnsi="Arial" w:cs="Arial"/>
      <w:b/>
      <w:bCs/>
      <w:color w:val="333333"/>
      <w:sz w:val="18"/>
      <w:szCs w:val="18"/>
    </w:rPr>
  </w:style>
  <w:style w:type="paragraph" w:customStyle="1" w:styleId="Textoindependiente21">
    <w:name w:val="Texto independiente 21"/>
    <w:basedOn w:val="Standard"/>
    <w:rsid w:val="005972FE"/>
    <w:pPr>
      <w:widowControl w:val="0"/>
    </w:pPr>
    <w:rPr>
      <w:rFonts w:ascii="NewsGotT" w:eastAsia="NewsGotT" w:hAnsi="NewsGotT" w:cs="NewsGotT"/>
      <w:spacing w:val="-2"/>
      <w:sz w:val="24"/>
      <w:szCs w:val="24"/>
      <w:lang w:val="en-US"/>
    </w:rPr>
  </w:style>
  <w:style w:type="numbering" w:customStyle="1" w:styleId="WW8Num2">
    <w:name w:val="WW8Num2"/>
    <w:basedOn w:val="Sinlista"/>
    <w:rsid w:val="005972FE"/>
    <w:pPr>
      <w:numPr>
        <w:numId w:val="1"/>
      </w:numPr>
    </w:pPr>
  </w:style>
  <w:style w:type="numbering" w:customStyle="1" w:styleId="WW8Num3">
    <w:name w:val="WW8Num3"/>
    <w:basedOn w:val="Sinlista"/>
    <w:rsid w:val="005972FE"/>
    <w:pPr>
      <w:numPr>
        <w:numId w:val="2"/>
      </w:numPr>
    </w:pPr>
  </w:style>
  <w:style w:type="numbering" w:customStyle="1" w:styleId="WW8Num4">
    <w:name w:val="WW8Num4"/>
    <w:basedOn w:val="Sinlista"/>
    <w:rsid w:val="005972FE"/>
    <w:pPr>
      <w:numPr>
        <w:numId w:val="3"/>
      </w:numPr>
    </w:pPr>
  </w:style>
  <w:style w:type="numbering" w:customStyle="1" w:styleId="WW8Num5">
    <w:name w:val="WW8Num5"/>
    <w:basedOn w:val="Sinlista"/>
    <w:rsid w:val="005972F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5301</Words>
  <Characters>29158</Characters>
  <Application>Microsoft Office Word</Application>
  <DocSecurity>0</DocSecurity>
  <Lines>242</Lines>
  <Paragraphs>68</Paragraphs>
  <ScaleCrop>false</ScaleCrop>
  <Company/>
  <LinksUpToDate>false</LinksUpToDate>
  <CharactersWithSpaces>34391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Gomez Rivas</dc:creator>
  <cp:keywords/>
  <dc:description/>
  <cp:lastModifiedBy>Beatriz Gomez Rivas</cp:lastModifiedBy>
  <cp:revision>2</cp:revision>
  <dcterms:created xsi:type="dcterms:W3CDTF">2023-01-27T10:59:00Z</dcterms:created>
  <dcterms:modified xsi:type="dcterms:W3CDTF">2023-01-27T10:59:00Z</dcterms:modified>
</cp:coreProperties>
</file>