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42A40" w14:textId="77777777" w:rsidR="00FD27E7" w:rsidRPr="00B03871" w:rsidRDefault="00FD27E7" w:rsidP="00FD27E7">
      <w:pPr>
        <w:spacing w:after="0" w:line="288" w:lineRule="auto"/>
        <w:jc w:val="both"/>
        <w:rPr>
          <w:rFonts w:ascii="AytoRoquetas Light Condensed" w:hAnsi="AytoRoquetas Light Condensed" w:cs="Arial-BoldMT"/>
          <w:b/>
          <w:bCs/>
          <w:sz w:val="26"/>
          <w:szCs w:val="26"/>
        </w:rPr>
      </w:pPr>
      <w:r w:rsidRPr="00B03871">
        <w:rPr>
          <w:rFonts w:ascii="AytoRoquetas Light Condensed" w:hAnsi="AytoRoquetas Light Condensed" w:cs="Arial-BoldMT"/>
          <w:b/>
          <w:bCs/>
          <w:sz w:val="26"/>
          <w:szCs w:val="26"/>
        </w:rPr>
        <w:t>3.- DACIÓN DE CUENTAS de la Liquidación del Presupuesto de ejercicio 2022.</w:t>
      </w:r>
    </w:p>
    <w:p w14:paraId="48459C03" w14:textId="77777777" w:rsidR="00FD27E7" w:rsidRPr="00FD27E7" w:rsidRDefault="00FD27E7" w:rsidP="00FD27E7">
      <w:pPr>
        <w:spacing w:after="0" w:line="288" w:lineRule="auto"/>
        <w:jc w:val="both"/>
        <w:rPr>
          <w:rFonts w:ascii="AytoRoquetas Light Condensed" w:hAnsi="AytoRoquetas Light Condensed" w:cs="ArialMT"/>
        </w:rPr>
      </w:pPr>
    </w:p>
    <w:p w14:paraId="152C3177" w14:textId="1EBA6EB8" w:rsidR="006565FF" w:rsidRPr="00420BD6" w:rsidRDefault="006565FF" w:rsidP="006565FF">
      <w:pPr>
        <w:spacing w:after="0" w:line="288" w:lineRule="auto"/>
        <w:jc w:val="both"/>
        <w:rPr>
          <w:rFonts w:ascii="AytoRoquetas Light Condensed" w:hAnsi="AytoRoquetas Light Condensed"/>
          <w:szCs w:val="20"/>
        </w:rPr>
      </w:pPr>
      <w:r w:rsidRPr="00420BD6">
        <w:rPr>
          <w:rFonts w:ascii="AytoRoquetas Light Condensed" w:hAnsi="AytoRoquetas Light Condensed"/>
          <w:szCs w:val="20"/>
        </w:rPr>
        <w:tab/>
        <w:t xml:space="preserve">Por el </w:t>
      </w:r>
      <w:r>
        <w:rPr>
          <w:rFonts w:ascii="AytoRoquetas Light Condensed" w:hAnsi="AytoRoquetas Light Condensed"/>
          <w:szCs w:val="20"/>
        </w:rPr>
        <w:t xml:space="preserve">Sr. </w:t>
      </w:r>
      <w:r w:rsidRPr="00420BD6">
        <w:rPr>
          <w:rFonts w:ascii="AytoRoquetas Light Condensed" w:hAnsi="AytoRoquetas Light Condensed"/>
          <w:szCs w:val="20"/>
        </w:rPr>
        <w:t xml:space="preserve">Presidente </w:t>
      </w:r>
      <w:r>
        <w:rPr>
          <w:rFonts w:ascii="AytoRoquetas Light Condensed" w:hAnsi="AytoRoquetas Light Condensed"/>
          <w:szCs w:val="20"/>
        </w:rPr>
        <w:t>del CCIAP se da cuenta a la Junta General de</w:t>
      </w:r>
      <w:r>
        <w:rPr>
          <w:rFonts w:ascii="AytoRoquetas Light Condensed" w:hAnsi="AytoRoquetas Light Condensed"/>
          <w:szCs w:val="20"/>
        </w:rPr>
        <w:t>l</w:t>
      </w:r>
      <w:r>
        <w:rPr>
          <w:rFonts w:ascii="AytoRoquetas Light Condensed" w:hAnsi="AytoRoquetas Light Condensed"/>
          <w:szCs w:val="20"/>
        </w:rPr>
        <w:t xml:space="preserve"> </w:t>
      </w:r>
      <w:r>
        <w:rPr>
          <w:rFonts w:ascii="AytoRoquetas Light Condensed" w:hAnsi="AytoRoquetas Light Condensed"/>
          <w:szCs w:val="20"/>
        </w:rPr>
        <w:t>decreto</w:t>
      </w:r>
      <w:r>
        <w:rPr>
          <w:rFonts w:ascii="AytoRoquetas Light Condensed" w:hAnsi="AytoRoquetas Light Condensed"/>
          <w:szCs w:val="20"/>
        </w:rPr>
        <w:t xml:space="preserve"> de 1</w:t>
      </w:r>
      <w:r>
        <w:rPr>
          <w:rFonts w:ascii="AytoRoquetas Light Condensed" w:hAnsi="AytoRoquetas Light Condensed"/>
          <w:szCs w:val="20"/>
        </w:rPr>
        <w:t>0</w:t>
      </w:r>
      <w:r>
        <w:rPr>
          <w:rFonts w:ascii="AytoRoquetas Light Condensed" w:hAnsi="AytoRoquetas Light Condensed"/>
          <w:szCs w:val="20"/>
        </w:rPr>
        <w:t xml:space="preserve"> de febrero de 2023, inscrit</w:t>
      </w:r>
      <w:r>
        <w:rPr>
          <w:rFonts w:ascii="AytoRoquetas Light Condensed" w:hAnsi="AytoRoquetas Light Condensed"/>
          <w:szCs w:val="20"/>
        </w:rPr>
        <w:t>o</w:t>
      </w:r>
      <w:r>
        <w:rPr>
          <w:rFonts w:ascii="AytoRoquetas Light Condensed" w:hAnsi="AytoRoquetas Light Condensed"/>
          <w:szCs w:val="20"/>
        </w:rPr>
        <w:t xml:space="preserve"> en el Libro de Decretos y Resoluciones con el número 2023/</w:t>
      </w:r>
      <w:r>
        <w:rPr>
          <w:rFonts w:ascii="AytoRoquetas Light Condensed" w:hAnsi="AytoRoquetas Light Condensed"/>
          <w:szCs w:val="20"/>
        </w:rPr>
        <w:t>8</w:t>
      </w:r>
      <w:r>
        <w:rPr>
          <w:rFonts w:ascii="AytoRoquetas Light Condensed" w:hAnsi="AytoRoquetas Light Condensed"/>
          <w:szCs w:val="20"/>
        </w:rPr>
        <w:t>, por la que se aprueba</w:t>
      </w:r>
      <w:r w:rsidRPr="0076734E">
        <w:rPr>
          <w:rFonts w:ascii="AytoRoquetas Light Condensed" w:hAnsi="AytoRoquetas Light Condensed"/>
          <w:szCs w:val="20"/>
        </w:rPr>
        <w:t xml:space="preserve"> l</w:t>
      </w:r>
      <w:r>
        <w:rPr>
          <w:rFonts w:ascii="AytoRoquetas Light Condensed" w:hAnsi="AytoRoquetas Light Condensed"/>
          <w:szCs w:val="20"/>
        </w:rPr>
        <w:t>a</w:t>
      </w:r>
      <w:r w:rsidRPr="0076734E">
        <w:rPr>
          <w:rFonts w:ascii="AytoRoquetas Light Condensed" w:hAnsi="AytoRoquetas Light Condensed"/>
          <w:szCs w:val="20"/>
        </w:rPr>
        <w:t xml:space="preserve"> </w:t>
      </w:r>
      <w:r>
        <w:rPr>
          <w:rFonts w:ascii="AytoRoquetas Light Condensed" w:hAnsi="AytoRoquetas Light Condensed"/>
          <w:szCs w:val="20"/>
        </w:rPr>
        <w:t>liquidación del Presupuesto del ejercicio 2022</w:t>
      </w:r>
      <w:r>
        <w:rPr>
          <w:rFonts w:ascii="AytoRoquetas Light Condensed" w:hAnsi="AytoRoquetas Light Condensed"/>
          <w:szCs w:val="20"/>
        </w:rPr>
        <w:t>, que es del siguiente tenor literal:</w:t>
      </w:r>
    </w:p>
    <w:p w14:paraId="4A087622" w14:textId="16E3E5AE" w:rsidR="006565FF" w:rsidRDefault="006565FF" w:rsidP="00FD27E7">
      <w:pPr>
        <w:spacing w:after="0" w:line="288" w:lineRule="auto"/>
        <w:jc w:val="both"/>
        <w:rPr>
          <w:rFonts w:ascii="AytoRoquetas Light Condensed" w:hAnsi="AytoRoquetas Light Condensed" w:cs="ArialMT"/>
        </w:rPr>
      </w:pPr>
    </w:p>
    <w:p w14:paraId="3FEEFAD6" w14:textId="77777777" w:rsidR="008B30D8" w:rsidRDefault="008B30D8" w:rsidP="00FD27E7">
      <w:pPr>
        <w:spacing w:after="0" w:line="288" w:lineRule="auto"/>
        <w:jc w:val="both"/>
        <w:rPr>
          <w:rFonts w:ascii="AytoRoquetas Light Condensed" w:hAnsi="AytoRoquetas Light Condensed" w:cs="ArialMT"/>
        </w:rPr>
      </w:pPr>
    </w:p>
    <w:p w14:paraId="21CDEA1F" w14:textId="340DFD25" w:rsidR="00FD27E7" w:rsidRPr="008B30D8" w:rsidRDefault="008B30D8" w:rsidP="00FD27E7">
      <w:pPr>
        <w:spacing w:after="0" w:line="288" w:lineRule="auto"/>
        <w:jc w:val="both"/>
        <w:rPr>
          <w:rFonts w:ascii="AytoRoquetas Light Condensed" w:hAnsi="AytoRoquetas Light Condensed"/>
          <w:bCs/>
          <w:i/>
          <w:iCs/>
          <w:szCs w:val="20"/>
        </w:rPr>
      </w:pPr>
      <w:r>
        <w:rPr>
          <w:rFonts w:ascii="AytoRoquetas Light Condensed" w:hAnsi="AytoRoquetas Light Condensed"/>
          <w:bCs/>
          <w:i/>
          <w:iCs/>
          <w:szCs w:val="20"/>
        </w:rPr>
        <w:t>“</w:t>
      </w:r>
      <w:r w:rsidR="00FD27E7" w:rsidRPr="008B30D8">
        <w:rPr>
          <w:rFonts w:ascii="AytoRoquetas Light Condensed" w:hAnsi="AytoRoquetas Light Condensed"/>
          <w:bCs/>
          <w:i/>
          <w:iCs/>
          <w:szCs w:val="20"/>
        </w:rPr>
        <w:t>D. GABRIEL AMAT AYLLON, PRESIDENTE DEL CONSORCIO DE SERVICIOS INTEGRADOS DE ABASTECIMIENTO DE AGUAS Y SANEAMIENTO DEL PONIENTE (ALMERIA), en relación a la Liquidación del Presupuesto correspondiente al ejercicio 2022 ha dictado el siguiente</w:t>
      </w:r>
    </w:p>
    <w:p w14:paraId="739B5A49" w14:textId="77777777" w:rsidR="00FD27E7" w:rsidRPr="008B30D8" w:rsidRDefault="00FD27E7" w:rsidP="00FD27E7">
      <w:pPr>
        <w:spacing w:after="0" w:line="288" w:lineRule="auto"/>
        <w:jc w:val="both"/>
        <w:rPr>
          <w:rFonts w:ascii="AytoRoquetas Light Condensed" w:hAnsi="AytoRoquetas Light Condensed"/>
          <w:bCs/>
          <w:i/>
          <w:iCs/>
          <w:szCs w:val="20"/>
          <w:u w:val="single"/>
        </w:rPr>
      </w:pPr>
    </w:p>
    <w:p w14:paraId="29E3971C" w14:textId="77777777" w:rsidR="00FD27E7" w:rsidRPr="008B30D8" w:rsidRDefault="00FD27E7" w:rsidP="00B03871">
      <w:pPr>
        <w:spacing w:after="0" w:line="288" w:lineRule="auto"/>
        <w:jc w:val="center"/>
        <w:rPr>
          <w:rFonts w:ascii="AytoRoquetas Light Condensed" w:hAnsi="AytoRoquetas Light Condensed"/>
          <w:bCs/>
          <w:i/>
          <w:iCs/>
          <w:szCs w:val="20"/>
        </w:rPr>
      </w:pPr>
      <w:r w:rsidRPr="008B30D8">
        <w:rPr>
          <w:rFonts w:ascii="AytoRoquetas Light Condensed" w:hAnsi="AytoRoquetas Light Condensed"/>
          <w:bCs/>
          <w:i/>
          <w:iCs/>
          <w:szCs w:val="20"/>
          <w:u w:val="single"/>
        </w:rPr>
        <w:t>DECRETO</w:t>
      </w:r>
      <w:r w:rsidRPr="008B30D8">
        <w:rPr>
          <w:rFonts w:ascii="AytoRoquetas Light Condensed" w:hAnsi="AytoRoquetas Light Condensed"/>
          <w:bCs/>
          <w:i/>
          <w:iCs/>
          <w:szCs w:val="20"/>
        </w:rPr>
        <w:t>:</w:t>
      </w:r>
    </w:p>
    <w:p w14:paraId="1B28D8ED" w14:textId="77777777" w:rsidR="00FD27E7" w:rsidRPr="008B30D8" w:rsidRDefault="00FD27E7" w:rsidP="00FD27E7">
      <w:pPr>
        <w:spacing w:after="0" w:line="288" w:lineRule="auto"/>
        <w:jc w:val="both"/>
        <w:rPr>
          <w:rFonts w:ascii="AytoRoquetas Light Condensed" w:hAnsi="AytoRoquetas Light Condensed"/>
          <w:bCs/>
          <w:i/>
          <w:iCs/>
          <w:szCs w:val="20"/>
        </w:rPr>
      </w:pPr>
    </w:p>
    <w:p w14:paraId="0916C814" w14:textId="77777777" w:rsidR="00FD27E7" w:rsidRPr="008B30D8" w:rsidRDefault="00FD27E7" w:rsidP="00B03871">
      <w:pPr>
        <w:spacing w:after="0" w:line="288" w:lineRule="auto"/>
        <w:ind w:firstLine="1134"/>
        <w:jc w:val="both"/>
        <w:rPr>
          <w:rFonts w:ascii="AytoRoquetas Light Condensed" w:hAnsi="AytoRoquetas Light Condensed"/>
          <w:bCs/>
          <w:i/>
          <w:iCs/>
          <w:szCs w:val="20"/>
        </w:rPr>
      </w:pPr>
      <w:r w:rsidRPr="008B30D8">
        <w:rPr>
          <w:rFonts w:ascii="AytoRoquetas Light Condensed" w:hAnsi="AytoRoquetas Light Condensed"/>
          <w:bCs/>
          <w:i/>
          <w:iCs/>
          <w:szCs w:val="20"/>
        </w:rPr>
        <w:t>Vista la liquidación que ha sido confeccionada por los servicios económicos correspondiente al ejercicio de 2022, en el plazo del plazo previsto por el artículo 191.3 del RDL 2/2004, de 5 de marzo, por el que se aprueba el TR de la LRHL fijado para el día 1 de marzo.</w:t>
      </w:r>
    </w:p>
    <w:p w14:paraId="4A0661C9" w14:textId="77777777" w:rsidR="00FD27E7" w:rsidRPr="008B30D8" w:rsidRDefault="00FD27E7" w:rsidP="00FD27E7">
      <w:pPr>
        <w:spacing w:after="0" w:line="288" w:lineRule="auto"/>
        <w:jc w:val="both"/>
        <w:rPr>
          <w:rFonts w:ascii="AytoRoquetas Light Condensed" w:hAnsi="AytoRoquetas Light Condensed"/>
          <w:bCs/>
          <w:i/>
          <w:iCs/>
          <w:szCs w:val="20"/>
        </w:rPr>
      </w:pPr>
    </w:p>
    <w:p w14:paraId="71E23089" w14:textId="77777777" w:rsidR="00FD27E7" w:rsidRPr="008B30D8" w:rsidRDefault="00FD27E7" w:rsidP="00B03871">
      <w:pPr>
        <w:spacing w:after="0" w:line="288" w:lineRule="auto"/>
        <w:ind w:firstLine="1134"/>
        <w:jc w:val="both"/>
        <w:rPr>
          <w:rFonts w:ascii="AytoRoquetas Light Condensed" w:hAnsi="AytoRoquetas Light Condensed"/>
          <w:bCs/>
          <w:i/>
          <w:iCs/>
          <w:szCs w:val="20"/>
        </w:rPr>
      </w:pPr>
      <w:r w:rsidRPr="008B30D8">
        <w:rPr>
          <w:rFonts w:ascii="AytoRoquetas Light Condensed" w:hAnsi="AytoRoquetas Light Condensed"/>
          <w:bCs/>
          <w:i/>
          <w:iCs/>
          <w:szCs w:val="20"/>
        </w:rPr>
        <w:t>RESULTANDO que en el expediente de liquidación obra informe de INTERVENCIÓN relativo a los documentos y resultado de la liquidación.</w:t>
      </w:r>
    </w:p>
    <w:p w14:paraId="0D6CF3C7" w14:textId="77777777" w:rsidR="00FD27E7" w:rsidRPr="008B30D8" w:rsidRDefault="00FD27E7" w:rsidP="00FD27E7">
      <w:pPr>
        <w:spacing w:after="0" w:line="288" w:lineRule="auto"/>
        <w:jc w:val="both"/>
        <w:rPr>
          <w:rFonts w:ascii="AytoRoquetas Light Condensed" w:hAnsi="AytoRoquetas Light Condensed"/>
          <w:bCs/>
          <w:i/>
          <w:iCs/>
          <w:szCs w:val="20"/>
        </w:rPr>
      </w:pPr>
    </w:p>
    <w:p w14:paraId="27D0E473" w14:textId="77777777" w:rsidR="00FD27E7" w:rsidRPr="008B30D8" w:rsidRDefault="00FD27E7" w:rsidP="00B03871">
      <w:pPr>
        <w:spacing w:after="0" w:line="288" w:lineRule="auto"/>
        <w:ind w:firstLine="1134"/>
        <w:jc w:val="both"/>
        <w:rPr>
          <w:rFonts w:ascii="AytoRoquetas Light Condensed" w:hAnsi="AytoRoquetas Light Condensed"/>
          <w:bCs/>
          <w:i/>
          <w:iCs/>
          <w:szCs w:val="20"/>
        </w:rPr>
      </w:pPr>
      <w:r w:rsidRPr="008B30D8">
        <w:rPr>
          <w:rFonts w:ascii="AytoRoquetas Light Condensed" w:hAnsi="AytoRoquetas Light Condensed"/>
          <w:bCs/>
          <w:i/>
          <w:iCs/>
          <w:szCs w:val="20"/>
        </w:rPr>
        <w:t>CONSIDERANDO lo dispuesto en el artículo 191 del citado RDL 2/2004, y en ejercicio de las competencias que esta Presidencia ostenta</w:t>
      </w:r>
    </w:p>
    <w:p w14:paraId="13D8CA60" w14:textId="77777777" w:rsidR="00FD27E7" w:rsidRPr="008B30D8" w:rsidRDefault="00FD27E7" w:rsidP="00FD27E7">
      <w:pPr>
        <w:spacing w:after="0" w:line="288" w:lineRule="auto"/>
        <w:jc w:val="both"/>
        <w:rPr>
          <w:rFonts w:ascii="AytoRoquetas Light Condensed" w:hAnsi="AytoRoquetas Light Condensed"/>
          <w:bCs/>
          <w:i/>
          <w:iCs/>
          <w:szCs w:val="20"/>
        </w:rPr>
      </w:pPr>
    </w:p>
    <w:p w14:paraId="7ED879FF" w14:textId="77777777" w:rsidR="00FD27E7" w:rsidRPr="008B30D8" w:rsidRDefault="00FD27E7" w:rsidP="00B03871">
      <w:pPr>
        <w:spacing w:after="0" w:line="288" w:lineRule="auto"/>
        <w:ind w:firstLine="1134"/>
        <w:jc w:val="both"/>
        <w:rPr>
          <w:rFonts w:ascii="AytoRoquetas Light Condensed" w:hAnsi="AytoRoquetas Light Condensed"/>
          <w:bCs/>
          <w:i/>
          <w:iCs/>
          <w:szCs w:val="20"/>
        </w:rPr>
      </w:pPr>
      <w:r w:rsidRPr="008B30D8">
        <w:rPr>
          <w:rFonts w:ascii="AytoRoquetas Light Condensed" w:hAnsi="AytoRoquetas Light Condensed"/>
          <w:bCs/>
          <w:i/>
          <w:iCs/>
          <w:szCs w:val="20"/>
        </w:rPr>
        <w:t>HE RESUELTO:</w:t>
      </w:r>
    </w:p>
    <w:p w14:paraId="51CD2385" w14:textId="77777777" w:rsidR="00FD27E7" w:rsidRPr="008B30D8" w:rsidRDefault="00FD27E7" w:rsidP="00FD27E7">
      <w:pPr>
        <w:spacing w:after="0" w:line="288" w:lineRule="auto"/>
        <w:jc w:val="both"/>
        <w:rPr>
          <w:rFonts w:ascii="AytoRoquetas Light Condensed" w:hAnsi="AytoRoquetas Light Condensed"/>
          <w:bCs/>
          <w:i/>
          <w:iCs/>
          <w:szCs w:val="20"/>
        </w:rPr>
      </w:pPr>
    </w:p>
    <w:p w14:paraId="45D89722" w14:textId="77777777" w:rsidR="00FD27E7" w:rsidRPr="008B30D8" w:rsidRDefault="00FD27E7" w:rsidP="00B03871">
      <w:pPr>
        <w:spacing w:after="0" w:line="288" w:lineRule="auto"/>
        <w:ind w:firstLine="1134"/>
        <w:jc w:val="both"/>
        <w:rPr>
          <w:rFonts w:ascii="AytoRoquetas Light Condensed" w:hAnsi="AytoRoquetas Light Condensed"/>
          <w:bCs/>
          <w:i/>
          <w:iCs/>
          <w:szCs w:val="20"/>
        </w:rPr>
      </w:pPr>
      <w:r w:rsidRPr="008B30D8">
        <w:rPr>
          <w:rFonts w:ascii="AytoRoquetas Light Condensed" w:hAnsi="AytoRoquetas Light Condensed"/>
          <w:bCs/>
          <w:i/>
          <w:iCs/>
          <w:szCs w:val="20"/>
        </w:rPr>
        <w:t xml:space="preserve">PRIMERO. - Aprobar la liquidación del presupuesto correspondiente al ejercicio de 2022, cuyo resumen es el siguiente: </w:t>
      </w:r>
    </w:p>
    <w:p w14:paraId="212AC9D2" w14:textId="77777777" w:rsidR="00FD27E7" w:rsidRPr="008B30D8" w:rsidRDefault="00FD27E7" w:rsidP="00FD27E7">
      <w:pPr>
        <w:spacing w:after="0" w:line="288" w:lineRule="auto"/>
        <w:jc w:val="both"/>
        <w:rPr>
          <w:rFonts w:ascii="AytoRoquetas Light Condensed" w:hAnsi="AytoRoquetas Light Condensed"/>
          <w:bCs/>
          <w:i/>
          <w:iCs/>
          <w:szCs w:val="20"/>
        </w:rPr>
      </w:pPr>
    </w:p>
    <w:tbl>
      <w:tblPr>
        <w:tblW w:w="5000" w:type="pct"/>
        <w:tblCellMar>
          <w:left w:w="70" w:type="dxa"/>
          <w:right w:w="70" w:type="dxa"/>
        </w:tblCellMar>
        <w:tblLook w:val="04A0" w:firstRow="1" w:lastRow="0" w:firstColumn="1" w:lastColumn="0" w:noHBand="0" w:noVBand="1"/>
      </w:tblPr>
      <w:tblGrid>
        <w:gridCol w:w="3271"/>
        <w:gridCol w:w="389"/>
        <w:gridCol w:w="380"/>
        <w:gridCol w:w="1193"/>
        <w:gridCol w:w="1217"/>
        <w:gridCol w:w="741"/>
        <w:gridCol w:w="1370"/>
      </w:tblGrid>
      <w:tr w:rsidR="00B03871" w:rsidRPr="008B30D8" w14:paraId="0AA29E12" w14:textId="77777777" w:rsidTr="00B03871">
        <w:trPr>
          <w:trHeight w:val="252"/>
        </w:trPr>
        <w:tc>
          <w:tcPr>
            <w:tcW w:w="2359" w:type="pct"/>
            <w:gridSpan w:val="3"/>
            <w:noWrap/>
            <w:vAlign w:val="bottom"/>
            <w:hideMark/>
          </w:tcPr>
          <w:p w14:paraId="241B3845"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A. RESULTADO PRESUPUESTARIO</w:t>
            </w:r>
          </w:p>
        </w:tc>
        <w:tc>
          <w:tcPr>
            <w:tcW w:w="697" w:type="pct"/>
            <w:noWrap/>
            <w:vAlign w:val="bottom"/>
          </w:tcPr>
          <w:p w14:paraId="434A6C6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711" w:type="pct"/>
            <w:noWrap/>
            <w:vAlign w:val="bottom"/>
          </w:tcPr>
          <w:p w14:paraId="192EBA9A"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433" w:type="pct"/>
            <w:noWrap/>
            <w:vAlign w:val="bottom"/>
          </w:tcPr>
          <w:p w14:paraId="30B960B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01" w:type="pct"/>
            <w:noWrap/>
            <w:vAlign w:val="bottom"/>
          </w:tcPr>
          <w:p w14:paraId="52BF295C"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67BE049F" w14:textId="77777777" w:rsidTr="00B03871">
        <w:trPr>
          <w:trHeight w:val="756"/>
        </w:trPr>
        <w:tc>
          <w:tcPr>
            <w:tcW w:w="1910" w:type="pct"/>
            <w:vAlign w:val="bottom"/>
            <w:hideMark/>
          </w:tcPr>
          <w:p w14:paraId="1B96BE61"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CONCEPTOS</w:t>
            </w:r>
          </w:p>
        </w:tc>
        <w:tc>
          <w:tcPr>
            <w:tcW w:w="227" w:type="pct"/>
            <w:vAlign w:val="bottom"/>
          </w:tcPr>
          <w:p w14:paraId="01125EAB"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222" w:type="pct"/>
            <w:vAlign w:val="bottom"/>
          </w:tcPr>
          <w:p w14:paraId="38C667EA"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97" w:type="pct"/>
            <w:vAlign w:val="bottom"/>
            <w:hideMark/>
          </w:tcPr>
          <w:p w14:paraId="2E8D52C7"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Derechos Reconocidos netos</w:t>
            </w:r>
          </w:p>
        </w:tc>
        <w:tc>
          <w:tcPr>
            <w:tcW w:w="711" w:type="pct"/>
            <w:vAlign w:val="bottom"/>
            <w:hideMark/>
          </w:tcPr>
          <w:p w14:paraId="7EAD6844"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Obligaciones Reconocidas netas</w:t>
            </w:r>
          </w:p>
        </w:tc>
        <w:tc>
          <w:tcPr>
            <w:tcW w:w="433" w:type="pct"/>
            <w:vAlign w:val="bottom"/>
            <w:hideMark/>
          </w:tcPr>
          <w:p w14:paraId="5D85FFF2"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Ajustes</w:t>
            </w:r>
          </w:p>
        </w:tc>
        <w:tc>
          <w:tcPr>
            <w:tcW w:w="801" w:type="pct"/>
            <w:vAlign w:val="bottom"/>
            <w:hideMark/>
          </w:tcPr>
          <w:p w14:paraId="78B8E1DE"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Resultado Presupuestario</w:t>
            </w:r>
          </w:p>
        </w:tc>
      </w:tr>
      <w:tr w:rsidR="00FD27E7" w:rsidRPr="008B30D8" w14:paraId="3C9E472F" w14:textId="77777777" w:rsidTr="00B03871">
        <w:trPr>
          <w:trHeight w:val="252"/>
        </w:trPr>
        <w:tc>
          <w:tcPr>
            <w:tcW w:w="2137" w:type="pct"/>
            <w:gridSpan w:val="2"/>
            <w:noWrap/>
            <w:vAlign w:val="bottom"/>
            <w:hideMark/>
          </w:tcPr>
          <w:p w14:paraId="7FC43514"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a. Operaciones corrientes</w:t>
            </w:r>
          </w:p>
        </w:tc>
        <w:tc>
          <w:tcPr>
            <w:tcW w:w="222" w:type="pct"/>
            <w:noWrap/>
            <w:vAlign w:val="bottom"/>
          </w:tcPr>
          <w:p w14:paraId="253540F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070B2C84"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227.276,63</w:t>
            </w:r>
          </w:p>
        </w:tc>
        <w:tc>
          <w:tcPr>
            <w:tcW w:w="711" w:type="pct"/>
            <w:tcBorders>
              <w:top w:val="single" w:sz="4" w:space="0" w:color="auto"/>
              <w:left w:val="nil"/>
              <w:bottom w:val="single" w:sz="4" w:space="0" w:color="auto"/>
              <w:right w:val="nil"/>
            </w:tcBorders>
            <w:noWrap/>
            <w:vAlign w:val="bottom"/>
            <w:hideMark/>
          </w:tcPr>
          <w:p w14:paraId="52B76811"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229.935,24</w:t>
            </w:r>
          </w:p>
        </w:tc>
        <w:tc>
          <w:tcPr>
            <w:tcW w:w="433" w:type="pct"/>
            <w:tcBorders>
              <w:top w:val="single" w:sz="4" w:space="0" w:color="auto"/>
              <w:left w:val="single" w:sz="4" w:space="0" w:color="auto"/>
              <w:bottom w:val="nil"/>
              <w:right w:val="single" w:sz="4" w:space="0" w:color="auto"/>
            </w:tcBorders>
            <w:noWrap/>
            <w:vAlign w:val="bottom"/>
            <w:hideMark/>
          </w:tcPr>
          <w:p w14:paraId="61204325"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w:t>
            </w:r>
          </w:p>
        </w:tc>
        <w:tc>
          <w:tcPr>
            <w:tcW w:w="801" w:type="pct"/>
            <w:tcBorders>
              <w:top w:val="single" w:sz="4" w:space="0" w:color="auto"/>
              <w:left w:val="nil"/>
              <w:bottom w:val="single" w:sz="4" w:space="0" w:color="auto"/>
              <w:right w:val="single" w:sz="4" w:space="0" w:color="auto"/>
            </w:tcBorders>
            <w:noWrap/>
            <w:vAlign w:val="bottom"/>
            <w:hideMark/>
          </w:tcPr>
          <w:p w14:paraId="2DBCBCA8"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-2.658,51</w:t>
            </w:r>
          </w:p>
        </w:tc>
      </w:tr>
      <w:tr w:rsidR="00B03871" w:rsidRPr="008B30D8" w14:paraId="7BD717DF" w14:textId="77777777" w:rsidTr="00B03871">
        <w:trPr>
          <w:trHeight w:val="252"/>
        </w:trPr>
        <w:tc>
          <w:tcPr>
            <w:tcW w:w="2359" w:type="pct"/>
            <w:gridSpan w:val="3"/>
            <w:noWrap/>
            <w:vAlign w:val="bottom"/>
            <w:hideMark/>
          </w:tcPr>
          <w:p w14:paraId="1F1D9ADC"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b. Operaciones de capital</w:t>
            </w:r>
          </w:p>
        </w:tc>
        <w:tc>
          <w:tcPr>
            <w:tcW w:w="697" w:type="pct"/>
            <w:tcBorders>
              <w:top w:val="nil"/>
              <w:left w:val="single" w:sz="4" w:space="0" w:color="auto"/>
              <w:bottom w:val="single" w:sz="4" w:space="0" w:color="auto"/>
              <w:right w:val="single" w:sz="4" w:space="0" w:color="auto"/>
            </w:tcBorders>
            <w:noWrap/>
            <w:vAlign w:val="bottom"/>
          </w:tcPr>
          <w:p w14:paraId="4DCABA05"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711" w:type="pct"/>
            <w:tcBorders>
              <w:top w:val="nil"/>
              <w:left w:val="nil"/>
              <w:bottom w:val="single" w:sz="4" w:space="0" w:color="auto"/>
              <w:right w:val="nil"/>
            </w:tcBorders>
            <w:noWrap/>
            <w:vAlign w:val="bottom"/>
          </w:tcPr>
          <w:p w14:paraId="754F3252"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433" w:type="pct"/>
            <w:tcBorders>
              <w:top w:val="nil"/>
              <w:left w:val="single" w:sz="4" w:space="0" w:color="auto"/>
              <w:bottom w:val="nil"/>
              <w:right w:val="single" w:sz="4" w:space="0" w:color="auto"/>
            </w:tcBorders>
            <w:noWrap/>
            <w:vAlign w:val="bottom"/>
            <w:hideMark/>
          </w:tcPr>
          <w:p w14:paraId="7A4A7231"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w:t>
            </w:r>
          </w:p>
        </w:tc>
        <w:tc>
          <w:tcPr>
            <w:tcW w:w="801" w:type="pct"/>
            <w:tcBorders>
              <w:top w:val="nil"/>
              <w:left w:val="nil"/>
              <w:bottom w:val="single" w:sz="4" w:space="0" w:color="auto"/>
              <w:right w:val="single" w:sz="4" w:space="0" w:color="auto"/>
            </w:tcBorders>
            <w:noWrap/>
            <w:vAlign w:val="bottom"/>
          </w:tcPr>
          <w:p w14:paraId="150BAC2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B03871" w:rsidRPr="008B30D8" w14:paraId="48BA97D5" w14:textId="77777777" w:rsidTr="00B03871">
        <w:trPr>
          <w:trHeight w:val="252"/>
        </w:trPr>
        <w:tc>
          <w:tcPr>
            <w:tcW w:w="2359" w:type="pct"/>
            <w:gridSpan w:val="3"/>
            <w:noWrap/>
            <w:vAlign w:val="bottom"/>
            <w:hideMark/>
          </w:tcPr>
          <w:p w14:paraId="05BBB476"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1. Total operaciones no financieras (a+b)</w:t>
            </w:r>
          </w:p>
        </w:tc>
        <w:tc>
          <w:tcPr>
            <w:tcW w:w="697" w:type="pct"/>
            <w:tcBorders>
              <w:top w:val="nil"/>
              <w:left w:val="single" w:sz="4" w:space="0" w:color="auto"/>
              <w:bottom w:val="single" w:sz="4" w:space="0" w:color="auto"/>
              <w:right w:val="single" w:sz="4" w:space="0" w:color="auto"/>
            </w:tcBorders>
            <w:noWrap/>
            <w:vAlign w:val="bottom"/>
            <w:hideMark/>
          </w:tcPr>
          <w:p w14:paraId="0D06BC75"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227.276,63</w:t>
            </w:r>
          </w:p>
        </w:tc>
        <w:tc>
          <w:tcPr>
            <w:tcW w:w="711" w:type="pct"/>
            <w:tcBorders>
              <w:top w:val="nil"/>
              <w:left w:val="nil"/>
              <w:bottom w:val="single" w:sz="4" w:space="0" w:color="auto"/>
              <w:right w:val="nil"/>
            </w:tcBorders>
            <w:noWrap/>
            <w:vAlign w:val="bottom"/>
            <w:hideMark/>
          </w:tcPr>
          <w:p w14:paraId="567880B6"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229.935,24</w:t>
            </w:r>
          </w:p>
        </w:tc>
        <w:tc>
          <w:tcPr>
            <w:tcW w:w="433" w:type="pct"/>
            <w:tcBorders>
              <w:top w:val="nil"/>
              <w:left w:val="single" w:sz="4" w:space="0" w:color="auto"/>
              <w:bottom w:val="nil"/>
              <w:right w:val="single" w:sz="4" w:space="0" w:color="auto"/>
            </w:tcBorders>
            <w:noWrap/>
            <w:vAlign w:val="bottom"/>
            <w:hideMark/>
          </w:tcPr>
          <w:p w14:paraId="67EEA666"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w:t>
            </w:r>
          </w:p>
        </w:tc>
        <w:tc>
          <w:tcPr>
            <w:tcW w:w="801" w:type="pct"/>
            <w:tcBorders>
              <w:top w:val="nil"/>
              <w:left w:val="nil"/>
              <w:bottom w:val="single" w:sz="4" w:space="0" w:color="auto"/>
              <w:right w:val="single" w:sz="4" w:space="0" w:color="auto"/>
            </w:tcBorders>
            <w:noWrap/>
            <w:vAlign w:val="bottom"/>
            <w:hideMark/>
          </w:tcPr>
          <w:p w14:paraId="4972808E"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-2.658,51</w:t>
            </w:r>
          </w:p>
        </w:tc>
      </w:tr>
      <w:tr w:rsidR="00FD27E7" w:rsidRPr="008B30D8" w14:paraId="0CB99845" w14:textId="77777777" w:rsidTr="00B03871">
        <w:trPr>
          <w:trHeight w:val="252"/>
        </w:trPr>
        <w:tc>
          <w:tcPr>
            <w:tcW w:w="2137" w:type="pct"/>
            <w:gridSpan w:val="2"/>
            <w:noWrap/>
            <w:vAlign w:val="bottom"/>
            <w:hideMark/>
          </w:tcPr>
          <w:p w14:paraId="395FB4D3"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c). Activos financieros</w:t>
            </w:r>
          </w:p>
        </w:tc>
        <w:tc>
          <w:tcPr>
            <w:tcW w:w="222" w:type="pct"/>
            <w:noWrap/>
            <w:vAlign w:val="bottom"/>
          </w:tcPr>
          <w:p w14:paraId="27A8D274"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97" w:type="pct"/>
            <w:tcBorders>
              <w:top w:val="nil"/>
              <w:left w:val="single" w:sz="4" w:space="0" w:color="auto"/>
              <w:bottom w:val="single" w:sz="4" w:space="0" w:color="auto"/>
              <w:right w:val="single" w:sz="4" w:space="0" w:color="auto"/>
            </w:tcBorders>
            <w:noWrap/>
            <w:vAlign w:val="bottom"/>
          </w:tcPr>
          <w:p w14:paraId="129E70C7"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711" w:type="pct"/>
            <w:tcBorders>
              <w:top w:val="nil"/>
              <w:left w:val="nil"/>
              <w:bottom w:val="single" w:sz="4" w:space="0" w:color="auto"/>
              <w:right w:val="nil"/>
            </w:tcBorders>
            <w:noWrap/>
            <w:vAlign w:val="bottom"/>
          </w:tcPr>
          <w:p w14:paraId="63594474"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433" w:type="pct"/>
            <w:tcBorders>
              <w:top w:val="nil"/>
              <w:left w:val="single" w:sz="4" w:space="0" w:color="auto"/>
              <w:bottom w:val="nil"/>
              <w:right w:val="single" w:sz="4" w:space="0" w:color="auto"/>
            </w:tcBorders>
            <w:noWrap/>
            <w:vAlign w:val="bottom"/>
            <w:hideMark/>
          </w:tcPr>
          <w:p w14:paraId="72A3FEE3"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w:t>
            </w:r>
          </w:p>
        </w:tc>
        <w:tc>
          <w:tcPr>
            <w:tcW w:w="801" w:type="pct"/>
            <w:tcBorders>
              <w:top w:val="nil"/>
              <w:left w:val="nil"/>
              <w:bottom w:val="single" w:sz="4" w:space="0" w:color="auto"/>
              <w:right w:val="single" w:sz="4" w:space="0" w:color="auto"/>
            </w:tcBorders>
            <w:noWrap/>
            <w:vAlign w:val="bottom"/>
          </w:tcPr>
          <w:p w14:paraId="1876481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79FB0FCD" w14:textId="77777777" w:rsidTr="00B03871">
        <w:trPr>
          <w:trHeight w:val="252"/>
        </w:trPr>
        <w:tc>
          <w:tcPr>
            <w:tcW w:w="2137" w:type="pct"/>
            <w:gridSpan w:val="2"/>
            <w:noWrap/>
            <w:vAlign w:val="bottom"/>
            <w:hideMark/>
          </w:tcPr>
          <w:p w14:paraId="47133BB9"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d). Pasivos financieros</w:t>
            </w:r>
          </w:p>
          <w:p w14:paraId="47E70BF0"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 Total operaciones financieras (c+d)</w:t>
            </w:r>
          </w:p>
        </w:tc>
        <w:tc>
          <w:tcPr>
            <w:tcW w:w="222" w:type="pct"/>
            <w:noWrap/>
            <w:vAlign w:val="bottom"/>
          </w:tcPr>
          <w:p w14:paraId="05C1C6F7"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97" w:type="pct"/>
            <w:tcBorders>
              <w:top w:val="nil"/>
              <w:left w:val="single" w:sz="4" w:space="0" w:color="auto"/>
              <w:bottom w:val="single" w:sz="4" w:space="0" w:color="auto"/>
              <w:right w:val="single" w:sz="4" w:space="0" w:color="auto"/>
            </w:tcBorders>
            <w:noWrap/>
            <w:vAlign w:val="bottom"/>
          </w:tcPr>
          <w:p w14:paraId="75FA9DDC"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711" w:type="pct"/>
            <w:tcBorders>
              <w:top w:val="nil"/>
              <w:left w:val="nil"/>
              <w:bottom w:val="single" w:sz="4" w:space="0" w:color="auto"/>
              <w:right w:val="nil"/>
            </w:tcBorders>
            <w:noWrap/>
            <w:vAlign w:val="bottom"/>
          </w:tcPr>
          <w:p w14:paraId="2A87009A"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433" w:type="pct"/>
            <w:tcBorders>
              <w:top w:val="nil"/>
              <w:left w:val="single" w:sz="4" w:space="0" w:color="auto"/>
              <w:bottom w:val="nil"/>
              <w:right w:val="single" w:sz="4" w:space="0" w:color="auto"/>
            </w:tcBorders>
            <w:noWrap/>
            <w:vAlign w:val="bottom"/>
            <w:hideMark/>
          </w:tcPr>
          <w:p w14:paraId="182EDB34"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w:t>
            </w:r>
          </w:p>
        </w:tc>
        <w:tc>
          <w:tcPr>
            <w:tcW w:w="801" w:type="pct"/>
            <w:tcBorders>
              <w:top w:val="nil"/>
              <w:left w:val="nil"/>
              <w:bottom w:val="single" w:sz="4" w:space="0" w:color="auto"/>
              <w:right w:val="single" w:sz="4" w:space="0" w:color="auto"/>
            </w:tcBorders>
            <w:noWrap/>
            <w:vAlign w:val="bottom"/>
          </w:tcPr>
          <w:p w14:paraId="589C29C3"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B03871" w:rsidRPr="008B30D8" w14:paraId="241249FA" w14:textId="77777777" w:rsidTr="00B03871">
        <w:trPr>
          <w:trHeight w:val="252"/>
        </w:trPr>
        <w:tc>
          <w:tcPr>
            <w:tcW w:w="2359" w:type="pct"/>
            <w:gridSpan w:val="3"/>
            <w:noWrap/>
            <w:vAlign w:val="bottom"/>
            <w:hideMark/>
          </w:tcPr>
          <w:p w14:paraId="2F9A363E"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lastRenderedPageBreak/>
              <w:t>RESULTADO PRESUPUESTARIO DEL EJERCICIO</w:t>
            </w:r>
          </w:p>
        </w:tc>
        <w:tc>
          <w:tcPr>
            <w:tcW w:w="697" w:type="pct"/>
            <w:tcBorders>
              <w:top w:val="nil"/>
              <w:left w:val="single" w:sz="4" w:space="0" w:color="auto"/>
              <w:bottom w:val="single" w:sz="4" w:space="0" w:color="auto"/>
              <w:right w:val="single" w:sz="4" w:space="0" w:color="auto"/>
            </w:tcBorders>
            <w:noWrap/>
            <w:vAlign w:val="bottom"/>
            <w:hideMark/>
          </w:tcPr>
          <w:p w14:paraId="4A1FAB49"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227.276,63</w:t>
            </w:r>
          </w:p>
        </w:tc>
        <w:tc>
          <w:tcPr>
            <w:tcW w:w="711" w:type="pct"/>
            <w:tcBorders>
              <w:top w:val="nil"/>
              <w:left w:val="nil"/>
              <w:bottom w:val="single" w:sz="4" w:space="0" w:color="auto"/>
              <w:right w:val="nil"/>
            </w:tcBorders>
            <w:noWrap/>
            <w:vAlign w:val="bottom"/>
            <w:hideMark/>
          </w:tcPr>
          <w:p w14:paraId="3BFAE34A"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229.935,24</w:t>
            </w:r>
          </w:p>
        </w:tc>
        <w:tc>
          <w:tcPr>
            <w:tcW w:w="433" w:type="pct"/>
            <w:tcBorders>
              <w:top w:val="nil"/>
              <w:left w:val="single" w:sz="4" w:space="0" w:color="auto"/>
              <w:bottom w:val="nil"/>
              <w:right w:val="single" w:sz="4" w:space="0" w:color="auto"/>
            </w:tcBorders>
            <w:noWrap/>
            <w:vAlign w:val="bottom"/>
            <w:hideMark/>
          </w:tcPr>
          <w:p w14:paraId="22EE6A92"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w:t>
            </w:r>
          </w:p>
        </w:tc>
        <w:tc>
          <w:tcPr>
            <w:tcW w:w="801" w:type="pct"/>
            <w:tcBorders>
              <w:top w:val="nil"/>
              <w:left w:val="nil"/>
              <w:bottom w:val="single" w:sz="4" w:space="0" w:color="auto"/>
              <w:right w:val="single" w:sz="4" w:space="0" w:color="auto"/>
            </w:tcBorders>
            <w:noWrap/>
            <w:vAlign w:val="bottom"/>
            <w:hideMark/>
          </w:tcPr>
          <w:p w14:paraId="2F7B30F7"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-2.658,51</w:t>
            </w:r>
          </w:p>
        </w:tc>
      </w:tr>
      <w:tr w:rsidR="00FD27E7" w:rsidRPr="008B30D8" w14:paraId="208D54DD" w14:textId="77777777" w:rsidTr="00B03871">
        <w:trPr>
          <w:trHeight w:val="252"/>
        </w:trPr>
        <w:tc>
          <w:tcPr>
            <w:tcW w:w="1910" w:type="pct"/>
            <w:noWrap/>
            <w:vAlign w:val="bottom"/>
          </w:tcPr>
          <w:p w14:paraId="6CACB1EB"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227" w:type="pct"/>
            <w:noWrap/>
            <w:vAlign w:val="bottom"/>
          </w:tcPr>
          <w:p w14:paraId="383263C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222" w:type="pct"/>
            <w:noWrap/>
            <w:vAlign w:val="bottom"/>
          </w:tcPr>
          <w:p w14:paraId="0029C5CC"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97" w:type="pct"/>
            <w:noWrap/>
            <w:vAlign w:val="bottom"/>
          </w:tcPr>
          <w:p w14:paraId="5D95DF0D"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711" w:type="pct"/>
            <w:noWrap/>
            <w:vAlign w:val="bottom"/>
          </w:tcPr>
          <w:p w14:paraId="599ADB8D"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433" w:type="pct"/>
            <w:tcBorders>
              <w:top w:val="nil"/>
              <w:left w:val="single" w:sz="4" w:space="0" w:color="auto"/>
              <w:bottom w:val="nil"/>
              <w:right w:val="single" w:sz="4" w:space="0" w:color="auto"/>
            </w:tcBorders>
            <w:noWrap/>
            <w:vAlign w:val="bottom"/>
            <w:hideMark/>
          </w:tcPr>
          <w:p w14:paraId="24E592AE"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w:t>
            </w:r>
          </w:p>
        </w:tc>
        <w:tc>
          <w:tcPr>
            <w:tcW w:w="801" w:type="pct"/>
            <w:noWrap/>
            <w:vAlign w:val="bottom"/>
          </w:tcPr>
          <w:p w14:paraId="1638EA9D"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6667171A" w14:textId="77777777" w:rsidTr="00B03871">
        <w:trPr>
          <w:trHeight w:val="252"/>
        </w:trPr>
        <w:tc>
          <w:tcPr>
            <w:tcW w:w="1910" w:type="pct"/>
            <w:noWrap/>
            <w:vAlign w:val="bottom"/>
            <w:hideMark/>
          </w:tcPr>
          <w:p w14:paraId="68FD753B"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AJUSTES</w:t>
            </w:r>
          </w:p>
        </w:tc>
        <w:tc>
          <w:tcPr>
            <w:tcW w:w="227" w:type="pct"/>
            <w:noWrap/>
            <w:vAlign w:val="bottom"/>
          </w:tcPr>
          <w:p w14:paraId="5E87353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222" w:type="pct"/>
            <w:noWrap/>
            <w:vAlign w:val="bottom"/>
          </w:tcPr>
          <w:p w14:paraId="04109410"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97" w:type="pct"/>
            <w:noWrap/>
            <w:vAlign w:val="bottom"/>
          </w:tcPr>
          <w:p w14:paraId="0B0CD593"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711" w:type="pct"/>
            <w:noWrap/>
            <w:vAlign w:val="bottom"/>
          </w:tcPr>
          <w:p w14:paraId="066A1EE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433" w:type="pct"/>
            <w:tcBorders>
              <w:top w:val="nil"/>
              <w:left w:val="single" w:sz="4" w:space="0" w:color="auto"/>
              <w:bottom w:val="single" w:sz="4" w:space="0" w:color="auto"/>
              <w:right w:val="single" w:sz="4" w:space="0" w:color="auto"/>
            </w:tcBorders>
            <w:noWrap/>
            <w:vAlign w:val="bottom"/>
          </w:tcPr>
          <w:p w14:paraId="302F533D"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01" w:type="pct"/>
            <w:noWrap/>
            <w:vAlign w:val="bottom"/>
          </w:tcPr>
          <w:p w14:paraId="2299192A"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5331EAC9" w14:textId="77777777" w:rsidTr="00B03871">
        <w:trPr>
          <w:trHeight w:val="252"/>
        </w:trPr>
        <w:tc>
          <w:tcPr>
            <w:tcW w:w="3766" w:type="pct"/>
            <w:gridSpan w:val="5"/>
            <w:noWrap/>
            <w:vAlign w:val="bottom"/>
            <w:hideMark/>
          </w:tcPr>
          <w:p w14:paraId="1BEE3F27"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3. Créditos gastados financiados con remanente de tesorería para gastos generales</w:t>
            </w:r>
          </w:p>
        </w:tc>
        <w:tc>
          <w:tcPr>
            <w:tcW w:w="433" w:type="pct"/>
            <w:tcBorders>
              <w:top w:val="nil"/>
              <w:left w:val="single" w:sz="4" w:space="0" w:color="auto"/>
              <w:bottom w:val="single" w:sz="4" w:space="0" w:color="auto"/>
              <w:right w:val="single" w:sz="4" w:space="0" w:color="auto"/>
            </w:tcBorders>
            <w:noWrap/>
            <w:vAlign w:val="bottom"/>
          </w:tcPr>
          <w:p w14:paraId="1DF9749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01" w:type="pct"/>
            <w:tcBorders>
              <w:top w:val="single" w:sz="4" w:space="0" w:color="auto"/>
              <w:left w:val="nil"/>
              <w:bottom w:val="single" w:sz="4" w:space="0" w:color="auto"/>
              <w:right w:val="single" w:sz="4" w:space="0" w:color="auto"/>
            </w:tcBorders>
            <w:noWrap/>
            <w:vAlign w:val="bottom"/>
          </w:tcPr>
          <w:p w14:paraId="05F99766"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31E188DE" w14:textId="77777777" w:rsidTr="00B03871">
        <w:trPr>
          <w:trHeight w:val="252"/>
        </w:trPr>
        <w:tc>
          <w:tcPr>
            <w:tcW w:w="3056" w:type="pct"/>
            <w:gridSpan w:val="4"/>
            <w:noWrap/>
            <w:vAlign w:val="bottom"/>
            <w:hideMark/>
          </w:tcPr>
          <w:p w14:paraId="3D090CD8"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xml:space="preserve">4. Desviaciones de financiación negativas en el ejercicio </w:t>
            </w:r>
          </w:p>
        </w:tc>
        <w:tc>
          <w:tcPr>
            <w:tcW w:w="711" w:type="pct"/>
            <w:noWrap/>
            <w:vAlign w:val="bottom"/>
          </w:tcPr>
          <w:p w14:paraId="1F3E7C8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433" w:type="pct"/>
            <w:tcBorders>
              <w:top w:val="nil"/>
              <w:left w:val="single" w:sz="4" w:space="0" w:color="auto"/>
              <w:bottom w:val="single" w:sz="4" w:space="0" w:color="auto"/>
              <w:right w:val="single" w:sz="4" w:space="0" w:color="auto"/>
            </w:tcBorders>
            <w:noWrap/>
            <w:vAlign w:val="bottom"/>
          </w:tcPr>
          <w:p w14:paraId="3B3D355E"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01" w:type="pct"/>
            <w:tcBorders>
              <w:top w:val="nil"/>
              <w:left w:val="nil"/>
              <w:bottom w:val="single" w:sz="4" w:space="0" w:color="auto"/>
              <w:right w:val="single" w:sz="4" w:space="0" w:color="auto"/>
            </w:tcBorders>
            <w:noWrap/>
            <w:vAlign w:val="bottom"/>
          </w:tcPr>
          <w:p w14:paraId="36353290"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6234748B" w14:textId="77777777" w:rsidTr="00B03871">
        <w:trPr>
          <w:trHeight w:val="252"/>
        </w:trPr>
        <w:tc>
          <w:tcPr>
            <w:tcW w:w="3056" w:type="pct"/>
            <w:gridSpan w:val="4"/>
            <w:noWrap/>
            <w:vAlign w:val="bottom"/>
            <w:hideMark/>
          </w:tcPr>
          <w:p w14:paraId="344C7C39"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xml:space="preserve">5. Desviaciones de financiación positivas en el ejercicio </w:t>
            </w:r>
          </w:p>
          <w:p w14:paraId="75466CCC"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II. TOTAL AJUSTES (II=3+4-5)</w:t>
            </w:r>
          </w:p>
        </w:tc>
        <w:tc>
          <w:tcPr>
            <w:tcW w:w="711" w:type="pct"/>
            <w:noWrap/>
            <w:vAlign w:val="bottom"/>
          </w:tcPr>
          <w:p w14:paraId="29C8C300"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433" w:type="pct"/>
            <w:tcBorders>
              <w:top w:val="nil"/>
              <w:left w:val="single" w:sz="4" w:space="0" w:color="auto"/>
              <w:bottom w:val="single" w:sz="4" w:space="0" w:color="auto"/>
              <w:right w:val="single" w:sz="4" w:space="0" w:color="auto"/>
            </w:tcBorders>
            <w:noWrap/>
            <w:vAlign w:val="bottom"/>
          </w:tcPr>
          <w:p w14:paraId="15ED9844"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01" w:type="pct"/>
            <w:tcBorders>
              <w:top w:val="nil"/>
              <w:left w:val="nil"/>
              <w:bottom w:val="single" w:sz="4" w:space="0" w:color="auto"/>
              <w:right w:val="single" w:sz="4" w:space="0" w:color="auto"/>
            </w:tcBorders>
            <w:noWrap/>
            <w:vAlign w:val="bottom"/>
          </w:tcPr>
          <w:p w14:paraId="56F72432"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B03871" w:rsidRPr="008B30D8" w14:paraId="1274F5F4" w14:textId="77777777" w:rsidTr="00B03871">
        <w:trPr>
          <w:trHeight w:val="252"/>
        </w:trPr>
        <w:tc>
          <w:tcPr>
            <w:tcW w:w="2359" w:type="pct"/>
            <w:gridSpan w:val="3"/>
            <w:noWrap/>
            <w:vAlign w:val="bottom"/>
            <w:hideMark/>
          </w:tcPr>
          <w:p w14:paraId="1167E54C"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RESULTADO PRESUPUESTARIO AJUSTADO</w:t>
            </w:r>
          </w:p>
        </w:tc>
        <w:tc>
          <w:tcPr>
            <w:tcW w:w="697" w:type="pct"/>
            <w:noWrap/>
            <w:vAlign w:val="bottom"/>
          </w:tcPr>
          <w:p w14:paraId="59D43E3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711" w:type="pct"/>
            <w:noWrap/>
            <w:vAlign w:val="bottom"/>
          </w:tcPr>
          <w:p w14:paraId="3E62D6BC"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433" w:type="pct"/>
            <w:tcBorders>
              <w:top w:val="nil"/>
              <w:left w:val="single" w:sz="4" w:space="0" w:color="auto"/>
              <w:bottom w:val="single" w:sz="4" w:space="0" w:color="auto"/>
              <w:right w:val="single" w:sz="4" w:space="0" w:color="auto"/>
            </w:tcBorders>
            <w:noWrap/>
            <w:vAlign w:val="bottom"/>
            <w:hideMark/>
          </w:tcPr>
          <w:p w14:paraId="70D4CA94"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w:t>
            </w:r>
          </w:p>
        </w:tc>
        <w:tc>
          <w:tcPr>
            <w:tcW w:w="801" w:type="pct"/>
            <w:tcBorders>
              <w:top w:val="nil"/>
              <w:left w:val="nil"/>
              <w:bottom w:val="single" w:sz="4" w:space="0" w:color="auto"/>
              <w:right w:val="single" w:sz="4" w:space="0" w:color="auto"/>
            </w:tcBorders>
            <w:noWrap/>
            <w:vAlign w:val="bottom"/>
            <w:hideMark/>
          </w:tcPr>
          <w:p w14:paraId="2E6C7944"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-2.658,51</w:t>
            </w:r>
          </w:p>
        </w:tc>
      </w:tr>
    </w:tbl>
    <w:p w14:paraId="2C0C59B9" w14:textId="77777777" w:rsidR="00FD27E7" w:rsidRPr="008B30D8" w:rsidRDefault="00FD27E7" w:rsidP="00FD27E7">
      <w:pPr>
        <w:spacing w:after="0" w:line="288" w:lineRule="auto"/>
        <w:jc w:val="both"/>
        <w:rPr>
          <w:rFonts w:ascii="AytoRoquetas Light Condensed" w:hAnsi="AytoRoquetas Light Condensed"/>
          <w:bCs/>
          <w:i/>
          <w:iCs/>
          <w:szCs w:val="20"/>
        </w:rPr>
      </w:pPr>
    </w:p>
    <w:p w14:paraId="3F1CDCB8" w14:textId="77777777" w:rsidR="00FD27E7" w:rsidRPr="008B30D8" w:rsidRDefault="00FD27E7" w:rsidP="00FD27E7">
      <w:pPr>
        <w:spacing w:after="0" w:line="288" w:lineRule="auto"/>
        <w:jc w:val="both"/>
        <w:rPr>
          <w:rFonts w:ascii="AytoRoquetas Light Condensed" w:hAnsi="AytoRoquetas Light Condensed"/>
          <w:bCs/>
          <w:i/>
          <w:iCs/>
          <w:szCs w:val="20"/>
        </w:rPr>
      </w:pPr>
      <w:r w:rsidRPr="008B30D8">
        <w:rPr>
          <w:rFonts w:ascii="AytoRoquetas Light Condensed" w:hAnsi="AytoRoquetas Light Condensed"/>
          <w:bCs/>
          <w:i/>
          <w:iCs/>
          <w:szCs w:val="20"/>
        </w:rPr>
        <w:t>B. REMANENTE DE TESORERÍA</w:t>
      </w:r>
    </w:p>
    <w:p w14:paraId="514C66C5" w14:textId="77777777" w:rsidR="00FD27E7" w:rsidRPr="008B30D8" w:rsidRDefault="00FD27E7" w:rsidP="00FD27E7">
      <w:pPr>
        <w:spacing w:after="0" w:line="288" w:lineRule="auto"/>
        <w:jc w:val="both"/>
        <w:rPr>
          <w:rFonts w:ascii="AytoRoquetas Light Condensed" w:hAnsi="AytoRoquetas Light Condensed"/>
          <w:bCs/>
          <w:i/>
          <w:iCs/>
          <w:szCs w:val="20"/>
        </w:rPr>
      </w:pPr>
    </w:p>
    <w:tbl>
      <w:tblPr>
        <w:tblW w:w="5000" w:type="pct"/>
        <w:tblLook w:val="04A0" w:firstRow="1" w:lastRow="0" w:firstColumn="1" w:lastColumn="0" w:noHBand="0" w:noVBand="1"/>
      </w:tblPr>
      <w:tblGrid>
        <w:gridCol w:w="2464"/>
        <w:gridCol w:w="1227"/>
        <w:gridCol w:w="712"/>
        <w:gridCol w:w="1446"/>
        <w:gridCol w:w="1170"/>
        <w:gridCol w:w="1536"/>
      </w:tblGrid>
      <w:tr w:rsidR="00FD27E7" w:rsidRPr="008B30D8" w14:paraId="6AD827CF"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7B0F6AEE"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COMPONENTES</w:t>
            </w:r>
          </w:p>
        </w:tc>
        <w:tc>
          <w:tcPr>
            <w:tcW w:w="1978"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198624B9"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IMPORTES AÑO</w:t>
            </w:r>
          </w:p>
        </w:tc>
        <w:tc>
          <w:tcPr>
            <w:tcW w:w="1583"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4A3B9536"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IMPORTES AÑO ANTERIOR</w:t>
            </w:r>
          </w:p>
        </w:tc>
      </w:tr>
      <w:tr w:rsidR="00FD27E7" w:rsidRPr="008B30D8" w14:paraId="28A82747"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017C1F52"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1. Fondos líquidos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11CA4EA7"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1938298C"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1.838.977,11</w:t>
            </w: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1A9EACC7"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hideMark/>
          </w:tcPr>
          <w:p w14:paraId="54570002"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1.962.308,42</w:t>
            </w:r>
          </w:p>
        </w:tc>
      </w:tr>
      <w:tr w:rsidR="00FD27E7" w:rsidRPr="008B30D8" w14:paraId="0E61DF54"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55F7A928"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 Derechos pendientes de cobro</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19213F9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2B92734E"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227.276,73</w:t>
            </w: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2C5E482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hideMark/>
          </w:tcPr>
          <w:p w14:paraId="38040C8A"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114.834,38</w:t>
            </w:r>
          </w:p>
        </w:tc>
      </w:tr>
      <w:tr w:rsidR="00FD27E7" w:rsidRPr="008B30D8" w14:paraId="29F311FD"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5BC16125" w14:textId="76E53801"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De presupuesto corriente</w:t>
            </w:r>
          </w:p>
        </w:tc>
        <w:tc>
          <w:tcPr>
            <w:tcW w:w="717" w:type="pct"/>
            <w:tcBorders>
              <w:top w:val="single" w:sz="2" w:space="0" w:color="000000"/>
              <w:left w:val="single" w:sz="2" w:space="0" w:color="000000"/>
              <w:bottom w:val="single" w:sz="2" w:space="0" w:color="000000"/>
              <w:right w:val="single" w:sz="2" w:space="0" w:color="000000"/>
            </w:tcBorders>
            <w:shd w:val="clear" w:color="auto" w:fill="FFFFFF"/>
            <w:hideMark/>
          </w:tcPr>
          <w:p w14:paraId="24B8BB29"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227.276,73</w:t>
            </w: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5DF0CAE4"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hideMark/>
          </w:tcPr>
          <w:p w14:paraId="79A4731A"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114.834,38</w:t>
            </w:r>
          </w:p>
        </w:tc>
        <w:tc>
          <w:tcPr>
            <w:tcW w:w="899" w:type="pct"/>
            <w:tcBorders>
              <w:top w:val="single" w:sz="2" w:space="0" w:color="000000"/>
              <w:left w:val="single" w:sz="2" w:space="0" w:color="000000"/>
              <w:bottom w:val="single" w:sz="2" w:space="0" w:color="000000"/>
              <w:right w:val="single" w:sz="2" w:space="0" w:color="000000"/>
            </w:tcBorders>
            <w:shd w:val="clear" w:color="auto" w:fill="FFFFFF"/>
          </w:tcPr>
          <w:p w14:paraId="34E0AA53"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5B0BF09C"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6D05D699" w14:textId="010DA202"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De presupuestos cerrados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1406948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5B7DF7DB"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0A9A7875"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tcPr>
          <w:p w14:paraId="630BE98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42758FDA"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741A6C75" w14:textId="6AAC9E26"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De operaciones no presupuestarias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34BFB1E6"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3918A5E3"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01A0CD6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tcPr>
          <w:p w14:paraId="10F5D83E"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32C40D5C"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331C6E8F" w14:textId="5EDC793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Cobros realizados pendientes de aplicación definitiva</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64CA2356"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39BA8DB5"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44DB2F12"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tcPr>
          <w:p w14:paraId="27A9A8F9"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345FA585"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26413F0A"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3. Obligaciones pendientes de pago</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301C3A73"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45FB231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4E7F31D4"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hideMark/>
          </w:tcPr>
          <w:p w14:paraId="00A77C7E"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8.234,45</w:t>
            </w:r>
          </w:p>
        </w:tc>
      </w:tr>
      <w:tr w:rsidR="00FD27E7" w:rsidRPr="008B30D8" w14:paraId="61D78B56"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545DBE8D" w14:textId="61EDA59B"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De presupuesto corriente</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2B640765"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377C7985"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3D4EB643"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tcPr>
          <w:p w14:paraId="0FB3051B"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223BB8F7"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25095ABB" w14:textId="5D0A2003"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De presupuestos cerrados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72EA6E67"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269A67A5"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0C86F318"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tcPr>
          <w:p w14:paraId="3028A48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28D8979E"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683395DF" w14:textId="0580A124"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De operaciones no presupuestarias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1E098A6B"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6F0FEEC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hideMark/>
          </w:tcPr>
          <w:p w14:paraId="514751AE"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8.234,45</w:t>
            </w:r>
          </w:p>
        </w:tc>
        <w:tc>
          <w:tcPr>
            <w:tcW w:w="899" w:type="pct"/>
            <w:tcBorders>
              <w:top w:val="single" w:sz="2" w:space="0" w:color="000000"/>
              <w:left w:val="single" w:sz="2" w:space="0" w:color="000000"/>
              <w:bottom w:val="single" w:sz="2" w:space="0" w:color="000000"/>
              <w:right w:val="single" w:sz="2" w:space="0" w:color="000000"/>
            </w:tcBorders>
            <w:shd w:val="clear" w:color="auto" w:fill="FFFFFF"/>
          </w:tcPr>
          <w:p w14:paraId="38156BE2"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71FFCF77"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183D4C10"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4. Partidas pendientes de aplicación</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029BB61E"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2AA64822"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482A12C6"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hideMark/>
          </w:tcPr>
          <w:p w14:paraId="111F1F48"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0,00</w:t>
            </w:r>
          </w:p>
        </w:tc>
      </w:tr>
      <w:tr w:rsidR="00FD27E7" w:rsidRPr="008B30D8" w14:paraId="7BD366D9"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7DC6FEEA" w14:textId="77777777" w:rsidR="00FD27E7" w:rsidRPr="008B30D8" w:rsidRDefault="00FD27E7" w:rsidP="00FD27E7">
            <w:pPr>
              <w:pStyle w:val="Prrafodelista"/>
              <w:numPr>
                <w:ilvl w:val="0"/>
                <w:numId w:val="1"/>
              </w:numPr>
              <w:autoSpaceDE w:val="0"/>
              <w:autoSpaceDN w:val="0"/>
              <w:adjustRightInd w:val="0"/>
              <w:spacing w:line="288" w:lineRule="auto"/>
              <w:ind w:left="0" w:firstLine="0"/>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Cobros realizados pendientes de aplicación definitiva</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562E4C6B"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493696FD"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4E4B33E3"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tcPr>
          <w:p w14:paraId="36126C59"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35643526" w14:textId="77777777" w:rsidTr="00FD27E7">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781D8ED6" w14:textId="2EDBCE2F"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 Pagos realizados pendientes de aplicación definitiva</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20FD9943"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3BED5A02"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1BA2E12F"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tcPr>
          <w:p w14:paraId="52A59579"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r>
      <w:tr w:rsidR="00FD27E7" w:rsidRPr="008B30D8" w14:paraId="18AB5E76" w14:textId="77777777" w:rsidTr="00FD27E7">
        <w:tc>
          <w:tcPr>
            <w:tcW w:w="2573"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6057C5C0" w14:textId="77777777" w:rsidR="00FD27E7" w:rsidRPr="008B30D8" w:rsidRDefault="00FD27E7" w:rsidP="00FD27E7">
            <w:pPr>
              <w:numPr>
                <w:ilvl w:val="0"/>
                <w:numId w:val="2"/>
              </w:num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Remanentes de Tesorería total</w:t>
            </w:r>
          </w:p>
        </w:tc>
        <w:tc>
          <w:tcPr>
            <w:tcW w:w="845" w:type="pct"/>
            <w:tcBorders>
              <w:top w:val="single" w:sz="2" w:space="0" w:color="000000"/>
              <w:left w:val="single" w:sz="2" w:space="0" w:color="000000"/>
              <w:bottom w:val="single" w:sz="2" w:space="0" w:color="000000"/>
              <w:right w:val="single" w:sz="2" w:space="0" w:color="000000"/>
            </w:tcBorders>
            <w:shd w:val="clear" w:color="auto" w:fill="FFFFFF"/>
            <w:hideMark/>
          </w:tcPr>
          <w:p w14:paraId="224A3383"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2.066.253,84</w:t>
            </w: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13A6FD7D"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hideMark/>
          </w:tcPr>
          <w:p w14:paraId="0857502C"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2.068.912,35</w:t>
            </w:r>
          </w:p>
        </w:tc>
      </w:tr>
      <w:tr w:rsidR="00FD27E7" w:rsidRPr="008B30D8" w14:paraId="7D136996" w14:textId="77777777" w:rsidTr="00FD27E7">
        <w:tc>
          <w:tcPr>
            <w:tcW w:w="2573"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01538A5F" w14:textId="77777777" w:rsidR="00FD27E7" w:rsidRPr="008B30D8" w:rsidRDefault="00FD27E7" w:rsidP="00FD27E7">
            <w:pPr>
              <w:numPr>
                <w:ilvl w:val="0"/>
                <w:numId w:val="2"/>
              </w:num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Saldos de dudoso cobro</w:t>
            </w:r>
          </w:p>
        </w:tc>
        <w:tc>
          <w:tcPr>
            <w:tcW w:w="845" w:type="pct"/>
            <w:tcBorders>
              <w:top w:val="single" w:sz="2" w:space="0" w:color="000000"/>
              <w:left w:val="single" w:sz="2" w:space="0" w:color="000000"/>
              <w:bottom w:val="single" w:sz="2" w:space="0" w:color="000000"/>
              <w:right w:val="single" w:sz="2" w:space="0" w:color="000000"/>
            </w:tcBorders>
            <w:shd w:val="clear" w:color="auto" w:fill="FFFFFF"/>
          </w:tcPr>
          <w:p w14:paraId="7CF00625"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1F28BD05"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hideMark/>
          </w:tcPr>
          <w:p w14:paraId="78E82654"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0’00</w:t>
            </w:r>
          </w:p>
        </w:tc>
      </w:tr>
      <w:tr w:rsidR="00FD27E7" w:rsidRPr="008B30D8" w14:paraId="66E10A5C" w14:textId="77777777" w:rsidTr="00FD27E7">
        <w:tc>
          <w:tcPr>
            <w:tcW w:w="2573"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6CC6901B"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III. Exceso de financiación afectada</w:t>
            </w:r>
          </w:p>
        </w:tc>
        <w:tc>
          <w:tcPr>
            <w:tcW w:w="845" w:type="pct"/>
            <w:tcBorders>
              <w:top w:val="single" w:sz="2" w:space="0" w:color="000000"/>
              <w:left w:val="single" w:sz="2" w:space="0" w:color="000000"/>
              <w:bottom w:val="single" w:sz="2" w:space="0" w:color="000000"/>
              <w:right w:val="single" w:sz="2" w:space="0" w:color="000000"/>
            </w:tcBorders>
            <w:shd w:val="clear" w:color="auto" w:fill="FFFFFF"/>
          </w:tcPr>
          <w:p w14:paraId="18935C50"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68493051"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hideMark/>
          </w:tcPr>
          <w:p w14:paraId="5ACF89A9"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0’00</w:t>
            </w:r>
          </w:p>
        </w:tc>
      </w:tr>
      <w:tr w:rsidR="00FD27E7" w:rsidRPr="008B30D8" w14:paraId="3EE86E6D" w14:textId="77777777" w:rsidTr="00FD27E7">
        <w:tc>
          <w:tcPr>
            <w:tcW w:w="2573"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62574FD3"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IV. Remanente de tesorería para gastos generales (I-II-III)</w:t>
            </w:r>
          </w:p>
        </w:tc>
        <w:tc>
          <w:tcPr>
            <w:tcW w:w="845" w:type="pct"/>
            <w:tcBorders>
              <w:top w:val="single" w:sz="2" w:space="0" w:color="000000"/>
              <w:left w:val="single" w:sz="2" w:space="0" w:color="000000"/>
              <w:bottom w:val="single" w:sz="2" w:space="0" w:color="000000"/>
              <w:right w:val="single" w:sz="2" w:space="0" w:color="000000"/>
            </w:tcBorders>
            <w:shd w:val="clear" w:color="auto" w:fill="FFFFFF"/>
            <w:hideMark/>
          </w:tcPr>
          <w:p w14:paraId="4A9E3AC7"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2.066.253,84</w:t>
            </w: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3341B810" w14:textId="77777777" w:rsidR="00FD27E7" w:rsidRPr="008B30D8" w:rsidRDefault="00FD27E7" w:rsidP="00FD27E7">
            <w:pPr>
              <w:spacing w:after="0" w:line="288" w:lineRule="auto"/>
              <w:jc w:val="both"/>
              <w:rPr>
                <w:rFonts w:ascii="AytoRoquetas Light Condensed" w:hAnsi="AytoRoquetas Light Condensed"/>
                <w:bCs/>
                <w:i/>
                <w:iCs/>
                <w:sz w:val="18"/>
                <w:szCs w:val="18"/>
              </w:rPr>
            </w:pPr>
          </w:p>
        </w:tc>
        <w:tc>
          <w:tcPr>
            <w:tcW w:w="899" w:type="pct"/>
            <w:tcBorders>
              <w:top w:val="single" w:sz="2" w:space="0" w:color="000000"/>
              <w:left w:val="single" w:sz="2" w:space="0" w:color="000000"/>
              <w:bottom w:val="single" w:sz="2" w:space="0" w:color="000000"/>
              <w:right w:val="single" w:sz="2" w:space="0" w:color="000000"/>
            </w:tcBorders>
            <w:shd w:val="clear" w:color="auto" w:fill="FFFFFF"/>
            <w:hideMark/>
          </w:tcPr>
          <w:p w14:paraId="7B3F1A7F" w14:textId="77777777" w:rsidR="00FD27E7" w:rsidRPr="008B30D8" w:rsidRDefault="00FD27E7" w:rsidP="00FD27E7">
            <w:pPr>
              <w:spacing w:after="0" w:line="288" w:lineRule="auto"/>
              <w:jc w:val="both"/>
              <w:rPr>
                <w:rFonts w:ascii="AytoRoquetas Light Condensed" w:hAnsi="AytoRoquetas Light Condensed"/>
                <w:bCs/>
                <w:i/>
                <w:iCs/>
                <w:sz w:val="18"/>
                <w:szCs w:val="18"/>
              </w:rPr>
            </w:pPr>
            <w:r w:rsidRPr="008B30D8">
              <w:rPr>
                <w:rFonts w:ascii="AytoRoquetas Light Condensed" w:hAnsi="AytoRoquetas Light Condensed"/>
                <w:bCs/>
                <w:i/>
                <w:iCs/>
                <w:sz w:val="18"/>
                <w:szCs w:val="18"/>
              </w:rPr>
              <w:t>2.068.912,35</w:t>
            </w:r>
          </w:p>
        </w:tc>
      </w:tr>
    </w:tbl>
    <w:p w14:paraId="75E121D6" w14:textId="77777777" w:rsidR="00FD27E7" w:rsidRPr="008B30D8" w:rsidRDefault="00FD27E7" w:rsidP="00FD27E7">
      <w:pPr>
        <w:spacing w:after="0" w:line="288" w:lineRule="auto"/>
        <w:jc w:val="both"/>
        <w:rPr>
          <w:rFonts w:ascii="AytoRoquetas Light Condensed" w:hAnsi="AytoRoquetas Light Condensed"/>
          <w:bCs/>
          <w:i/>
          <w:iCs/>
          <w:szCs w:val="20"/>
        </w:rPr>
      </w:pPr>
    </w:p>
    <w:p w14:paraId="0D9AC736" w14:textId="77777777" w:rsidR="00FD27E7" w:rsidRPr="008B30D8" w:rsidRDefault="00FD27E7" w:rsidP="00FD27E7">
      <w:pPr>
        <w:spacing w:after="0" w:line="288" w:lineRule="auto"/>
        <w:jc w:val="both"/>
        <w:rPr>
          <w:rFonts w:ascii="AytoRoquetas Light Condensed" w:hAnsi="AytoRoquetas Light Condensed"/>
          <w:bCs/>
          <w:i/>
          <w:iCs/>
          <w:szCs w:val="20"/>
        </w:rPr>
      </w:pPr>
      <w:r w:rsidRPr="008B30D8">
        <w:rPr>
          <w:rFonts w:ascii="AytoRoquetas Light Condensed" w:hAnsi="AytoRoquetas Light Condensed"/>
          <w:bCs/>
          <w:i/>
          <w:iCs/>
          <w:szCs w:val="20"/>
        </w:rPr>
        <w:t>SEGUNDO.-  Dar cuenta a la Junta General en la primera sesión que éste celebre, de acuerdo con cuanto establecen los artículos 193.4 del Texto Refundido de la Ley Reguladora de las Haciendas Locales aprobado por Real Decreto Legislativo 2/2004, de 5 de marzo, y 90.2 del Real Decreto 500/1990, de 20 de abril.</w:t>
      </w:r>
    </w:p>
    <w:p w14:paraId="05D92CCD" w14:textId="77777777" w:rsidR="00FD27E7" w:rsidRPr="008B30D8" w:rsidRDefault="00FD27E7" w:rsidP="00FD27E7">
      <w:pPr>
        <w:spacing w:after="0" w:line="288" w:lineRule="auto"/>
        <w:jc w:val="both"/>
        <w:rPr>
          <w:rFonts w:ascii="AytoRoquetas Light Condensed" w:hAnsi="AytoRoquetas Light Condensed"/>
          <w:bCs/>
          <w:i/>
          <w:iCs/>
          <w:szCs w:val="20"/>
        </w:rPr>
      </w:pPr>
    </w:p>
    <w:p w14:paraId="77986134" w14:textId="27C88E4B" w:rsidR="00FD27E7" w:rsidRPr="008B30D8" w:rsidRDefault="00FD27E7" w:rsidP="00FD27E7">
      <w:pPr>
        <w:spacing w:after="0" w:line="288" w:lineRule="auto"/>
        <w:jc w:val="both"/>
        <w:rPr>
          <w:rFonts w:ascii="AytoRoquetas Light Condensed" w:hAnsi="AytoRoquetas Light Condensed"/>
          <w:bCs/>
          <w:i/>
          <w:iCs/>
          <w:szCs w:val="20"/>
        </w:rPr>
      </w:pPr>
      <w:r w:rsidRPr="008B30D8">
        <w:rPr>
          <w:rFonts w:ascii="AytoRoquetas Light Condensed" w:hAnsi="AytoRoquetas Light Condensed"/>
          <w:bCs/>
          <w:i/>
          <w:iCs/>
          <w:szCs w:val="20"/>
        </w:rPr>
        <w:t>TERCERO.-  Ordenar la remisión de copia de la liquidación al Ministerio de Hacienda y Administraciones Públicas a través de la Oficina Virtual para la Coordinación Financiera con las Entidades Locales, así como a la Dirección General de Política Digital de la Consejería de Hacienda y Administración Pública.</w:t>
      </w:r>
      <w:r w:rsidR="00BC559B" w:rsidRPr="008B30D8">
        <w:rPr>
          <w:rFonts w:ascii="AytoRoquetas Light Condensed" w:hAnsi="AytoRoquetas Light Condensed"/>
          <w:bCs/>
          <w:i/>
          <w:iCs/>
          <w:szCs w:val="20"/>
        </w:rPr>
        <w:t>”</w:t>
      </w:r>
    </w:p>
    <w:p w14:paraId="2BD5F297" w14:textId="77777777" w:rsidR="00FD27E7" w:rsidRPr="00B03871" w:rsidRDefault="00FD27E7" w:rsidP="00FD27E7">
      <w:pPr>
        <w:spacing w:after="0" w:line="288" w:lineRule="auto"/>
        <w:jc w:val="both"/>
        <w:rPr>
          <w:rFonts w:ascii="AytoRoquetas Light Condensed" w:hAnsi="AytoRoquetas Light Condensed"/>
          <w:bCs/>
          <w:szCs w:val="20"/>
        </w:rPr>
      </w:pPr>
    </w:p>
    <w:p w14:paraId="5CE9739E" w14:textId="77777777" w:rsidR="006565FF" w:rsidRPr="00740DA0" w:rsidRDefault="006565FF" w:rsidP="006565FF">
      <w:pPr>
        <w:spacing w:after="0" w:line="288" w:lineRule="auto"/>
        <w:jc w:val="both"/>
        <w:rPr>
          <w:rFonts w:ascii="AytoRoquetas Light Condensed" w:hAnsi="AytoRoquetas Light Condensed"/>
          <w:szCs w:val="20"/>
        </w:rPr>
      </w:pPr>
    </w:p>
    <w:p w14:paraId="03055DC0" w14:textId="77777777" w:rsidR="006565FF" w:rsidRPr="00740DA0" w:rsidRDefault="006565FF" w:rsidP="006565FF">
      <w:pPr>
        <w:spacing w:after="0" w:line="240" w:lineRule="auto"/>
        <w:jc w:val="both"/>
        <w:rPr>
          <w:rFonts w:ascii="AytoRoquetas Light Condensed" w:hAnsi="AytoRoquetas Light Condensed" w:cs="AytoRoquetas Light Condensed"/>
          <w:i/>
          <w:iCs/>
          <w:color w:val="000000" w:themeColor="text1"/>
        </w:rPr>
      </w:pPr>
      <w:r w:rsidRPr="00740DA0">
        <w:rPr>
          <w:rFonts w:ascii="AytoRoquetas Light Condensed" w:hAnsi="AytoRoquetas Light Condensed" w:cs="AytoRoquetas Light Condensed"/>
          <w:i/>
          <w:iCs/>
          <w:color w:val="000000" w:themeColor="text1"/>
        </w:rPr>
        <w:t>El presente documento ha sido firmado electrónicamente, de acuerdo con lo establecido en la Ley 40/2015, de 1 de octubre, de Régimen Jurídico del Sector Público, por el Presidente del CCIAP en la fecha que se indica al margen del mismo, cuya autenticidad e integridad puede verificarse a través de código seguro que se inserta.</w:t>
      </w:r>
    </w:p>
    <w:p w14:paraId="6F188FEC" w14:textId="77777777" w:rsidR="005D7CEB" w:rsidRPr="00B03871" w:rsidRDefault="005D7CEB" w:rsidP="00FD27E7">
      <w:pPr>
        <w:spacing w:after="0" w:line="288" w:lineRule="auto"/>
        <w:jc w:val="both"/>
        <w:rPr>
          <w:rFonts w:ascii="AytoRoquetas Light Condensed" w:hAnsi="AytoRoquetas Light Condensed"/>
          <w:bCs/>
        </w:rPr>
      </w:pPr>
    </w:p>
    <w:sectPr w:rsidR="005D7CEB" w:rsidRPr="00B03871">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FE8EF" w14:textId="77777777" w:rsidR="0030679D" w:rsidRDefault="0030679D">
      <w:pPr>
        <w:spacing w:after="0" w:line="240" w:lineRule="auto"/>
      </w:pPr>
      <w:r>
        <w:separator/>
      </w:r>
    </w:p>
  </w:endnote>
  <w:endnote w:type="continuationSeparator" w:id="0">
    <w:p w14:paraId="768C8FBD" w14:textId="77777777" w:rsidR="0030679D" w:rsidRDefault="00306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8521"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78B2A" w14:textId="77777777" w:rsidR="0030679D" w:rsidRDefault="0030679D">
      <w:pPr>
        <w:spacing w:after="0" w:line="240" w:lineRule="auto"/>
      </w:pPr>
      <w:r>
        <w:separator/>
      </w:r>
    </w:p>
  </w:footnote>
  <w:footnote w:type="continuationSeparator" w:id="0">
    <w:p w14:paraId="37B6588B" w14:textId="77777777" w:rsidR="0030679D" w:rsidRDefault="00306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F5FC"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15AE175E" wp14:editId="52C3295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41AF7F" w14:textId="77777777" w:rsidR="005D7CEB" w:rsidRDefault="005D7CEB">
                          <w:pPr>
                            <w:spacing w:after="0" w:line="240" w:lineRule="atLeast"/>
                            <w:rPr>
                              <w:color w:val="1D8FC7"/>
                              <w:sz w:val="16"/>
                              <w:szCs w:val="16"/>
                            </w:rPr>
                          </w:pPr>
                          <w:r>
                            <w:rPr>
                              <w:color w:val="1D8FC7"/>
                              <w:sz w:val="16"/>
                              <w:szCs w:val="16"/>
                            </w:rPr>
                            <w:t>Plaza de la Constitución, 1</w:t>
                          </w:r>
                        </w:p>
                        <w:p w14:paraId="3AF695A5" w14:textId="77777777" w:rsidR="005D7CEB" w:rsidRDefault="005D7CEB">
                          <w:pPr>
                            <w:spacing w:after="0" w:line="240" w:lineRule="atLeast"/>
                            <w:rPr>
                              <w:color w:val="1D8FC7"/>
                              <w:sz w:val="16"/>
                              <w:szCs w:val="16"/>
                            </w:rPr>
                          </w:pPr>
                          <w:r>
                            <w:rPr>
                              <w:color w:val="1D8FC7"/>
                              <w:sz w:val="16"/>
                              <w:szCs w:val="16"/>
                            </w:rPr>
                            <w:t>04740 Roquetas de Mar, Almería</w:t>
                          </w:r>
                        </w:p>
                        <w:p w14:paraId="20D7B41C" w14:textId="77777777" w:rsidR="005D7CEB" w:rsidRDefault="005D7CEB">
                          <w:pPr>
                            <w:spacing w:after="0" w:line="240" w:lineRule="atLeast"/>
                            <w:rPr>
                              <w:color w:val="1D8FC7"/>
                              <w:sz w:val="16"/>
                              <w:szCs w:val="16"/>
                            </w:rPr>
                          </w:pPr>
                          <w:r>
                            <w:rPr>
                              <w:color w:val="1D8FC7"/>
                              <w:sz w:val="16"/>
                              <w:szCs w:val="16"/>
                            </w:rPr>
                            <w:t>Tels.: 950 33 85 85 – 950 33 86 19</w:t>
                          </w:r>
                        </w:p>
                        <w:p w14:paraId="0E254F7F"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E175E"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6841AF7F" w14:textId="77777777" w:rsidR="005D7CEB" w:rsidRDefault="005D7CEB">
                    <w:pPr>
                      <w:spacing w:after="0" w:line="240" w:lineRule="atLeast"/>
                      <w:rPr>
                        <w:color w:val="1D8FC7"/>
                        <w:sz w:val="16"/>
                        <w:szCs w:val="16"/>
                      </w:rPr>
                    </w:pPr>
                    <w:r>
                      <w:rPr>
                        <w:color w:val="1D8FC7"/>
                        <w:sz w:val="16"/>
                        <w:szCs w:val="16"/>
                      </w:rPr>
                      <w:t>Plaza de la Constitución, 1</w:t>
                    </w:r>
                  </w:p>
                  <w:p w14:paraId="3AF695A5" w14:textId="77777777" w:rsidR="005D7CEB" w:rsidRDefault="005D7CEB">
                    <w:pPr>
                      <w:spacing w:after="0" w:line="240" w:lineRule="atLeast"/>
                      <w:rPr>
                        <w:color w:val="1D8FC7"/>
                        <w:sz w:val="16"/>
                        <w:szCs w:val="16"/>
                      </w:rPr>
                    </w:pPr>
                    <w:r>
                      <w:rPr>
                        <w:color w:val="1D8FC7"/>
                        <w:sz w:val="16"/>
                        <w:szCs w:val="16"/>
                      </w:rPr>
                      <w:t>04740 Roquetas de Mar, Almería</w:t>
                    </w:r>
                  </w:p>
                  <w:p w14:paraId="20D7B41C" w14:textId="77777777" w:rsidR="005D7CEB" w:rsidRDefault="005D7CEB">
                    <w:pPr>
                      <w:spacing w:after="0" w:line="240" w:lineRule="atLeast"/>
                      <w:rPr>
                        <w:color w:val="1D8FC7"/>
                        <w:sz w:val="16"/>
                        <w:szCs w:val="16"/>
                      </w:rPr>
                    </w:pPr>
                    <w:r>
                      <w:rPr>
                        <w:color w:val="1D8FC7"/>
                        <w:sz w:val="16"/>
                        <w:szCs w:val="16"/>
                      </w:rPr>
                      <w:t>Tels.: 950 33 85 85 – 950 33 86 19</w:t>
                    </w:r>
                  </w:p>
                  <w:p w14:paraId="0E254F7F"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4C3AA1AF"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2415F7A7" wp14:editId="79CA7D9B">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5987F3" w14:textId="77777777" w:rsidR="005D7CEB" w:rsidRDefault="005D7CEB">
    <w:pPr>
      <w:pStyle w:val="Encabezado28"/>
      <w:rPr>
        <w:rFonts w:ascii="AytoRoquetas Light Condensed" w:hAnsi="AytoRoquetas Light Condensed" w:cs="AytoRoquetas Light Condensed"/>
      </w:rPr>
    </w:pPr>
  </w:p>
  <w:p w14:paraId="05C132CC"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num w:numId="1" w16cid:durableId="849836778">
    <w:abstractNumId w:val="1"/>
  </w:num>
  <w:num w:numId="2" w16cid:durableId="531849337">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30679D"/>
    <w:rsid w:val="00482393"/>
    <w:rsid w:val="005D7CEB"/>
    <w:rsid w:val="006565FF"/>
    <w:rsid w:val="00832717"/>
    <w:rsid w:val="008743DE"/>
    <w:rsid w:val="008761D5"/>
    <w:rsid w:val="008B30D8"/>
    <w:rsid w:val="00B03871"/>
    <w:rsid w:val="00BC559B"/>
    <w:rsid w:val="00BF0BD7"/>
    <w:rsid w:val="00DD6B08"/>
    <w:rsid w:val="00E03B8A"/>
    <w:rsid w:val="00FD27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28D80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styleId="Prrafodelista">
    <w:name w:val="List Paragraph"/>
    <w:basedOn w:val="Normal"/>
    <w:uiPriority w:val="34"/>
    <w:qFormat/>
    <w:rsid w:val="00FD27E7"/>
    <w:pPr>
      <w:autoSpaceDE/>
      <w:autoSpaceDN/>
      <w:adjustRightInd/>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607</Words>
  <Characters>3340</Characters>
  <Application>Microsoft Office Word</Application>
  <DocSecurity>0</DocSecurity>
  <Lines>27</Lines>
  <Paragraphs>7</Paragraphs>
  <ScaleCrop>false</ScaleCrop>
  <Company/>
  <LinksUpToDate>false</LinksUpToDate>
  <CharactersWithSpaces>3940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6</cp:revision>
  <dcterms:created xsi:type="dcterms:W3CDTF">2023-02-21T10:30:00Z</dcterms:created>
  <dcterms:modified xsi:type="dcterms:W3CDTF">2023-02-21T11:08:00Z</dcterms:modified>
</cp:coreProperties>
</file>