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0BEA0" w14:textId="35885474" w:rsidR="007F5B9E" w:rsidRPr="007F5B9E" w:rsidRDefault="007F5B9E" w:rsidP="007F5B9E">
      <w:pPr>
        <w:spacing w:after="0" w:line="288" w:lineRule="auto"/>
        <w:jc w:val="both"/>
        <w:rPr>
          <w:rFonts w:ascii="AytoRoquetas Light Condensed" w:hAnsi="AytoRoquetas Light Condensed" w:cs="Frutiger-LightCn"/>
          <w:b/>
          <w:bCs/>
          <w:sz w:val="26"/>
          <w:szCs w:val="26"/>
        </w:rPr>
      </w:pPr>
      <w:r w:rsidRPr="007F5B9E">
        <w:rPr>
          <w:rFonts w:ascii="AytoRoquetas Light Condensed" w:hAnsi="AytoRoquetas Light Condensed" w:cs="Frutiger-LightCn"/>
          <w:b/>
          <w:bCs/>
          <w:sz w:val="26"/>
          <w:szCs w:val="26"/>
        </w:rPr>
        <w:t>9 APROBACION DEFINITIVA de la Cuenta General del Ejercicio 2021.</w:t>
      </w:r>
    </w:p>
    <w:p w14:paraId="4A1CC453" w14:textId="4CA48A5B" w:rsidR="007F5B9E" w:rsidRPr="007F5B9E" w:rsidRDefault="007F5B9E" w:rsidP="007F5B9E">
      <w:pPr>
        <w:spacing w:after="0" w:line="288" w:lineRule="auto"/>
        <w:jc w:val="both"/>
        <w:rPr>
          <w:rFonts w:ascii="AytoRoquetas Light Condensed" w:hAnsi="AytoRoquetas Light Condensed" w:cs="Frutiger-LightCn"/>
          <w:szCs w:val="20"/>
        </w:rPr>
      </w:pPr>
    </w:p>
    <w:p w14:paraId="07D4E8CD" w14:textId="62E4E421" w:rsidR="00851136" w:rsidRPr="007F5B9E" w:rsidRDefault="007F5B9E" w:rsidP="00C27C1D">
      <w:pPr>
        <w:spacing w:after="0" w:line="288" w:lineRule="auto"/>
        <w:ind w:firstLine="1134"/>
        <w:jc w:val="both"/>
        <w:rPr>
          <w:rFonts w:ascii="AytoRoquetas Light Condensed" w:hAnsi="AytoRoquetas Light Condensed" w:cs="Frutiger-LightCn"/>
          <w:szCs w:val="20"/>
        </w:rPr>
      </w:pPr>
      <w:r w:rsidRPr="007F5B9E">
        <w:rPr>
          <w:rFonts w:ascii="AytoRoquetas Light Condensed" w:hAnsi="AytoRoquetas Light Condensed" w:cs="Frutiger-LightCn"/>
          <w:szCs w:val="20"/>
        </w:rPr>
        <w:t xml:space="preserve">Se da cuenta del informe de Intervención de fecha </w:t>
      </w:r>
      <w:r w:rsidRPr="007F5B9E">
        <w:rPr>
          <w:rFonts w:ascii="AytoRoquetas Light Condensed" w:hAnsi="AytoRoquetas Light Condensed" w:cs="Frutiger-LightCn"/>
          <w:szCs w:val="20"/>
        </w:rPr>
        <w:t>1</w:t>
      </w:r>
      <w:r w:rsidRPr="007F5B9E">
        <w:rPr>
          <w:rFonts w:ascii="AytoRoquetas Light Condensed" w:hAnsi="AytoRoquetas Light Condensed" w:cs="Frutiger-LightCn"/>
          <w:szCs w:val="20"/>
        </w:rPr>
        <w:t xml:space="preserve">3 de </w:t>
      </w:r>
      <w:r w:rsidRPr="007F5B9E">
        <w:rPr>
          <w:rFonts w:ascii="AytoRoquetas Light Condensed" w:hAnsi="AytoRoquetas Light Condensed" w:cs="Frutiger-LightCn"/>
          <w:szCs w:val="20"/>
        </w:rPr>
        <w:t>junio</w:t>
      </w:r>
      <w:r w:rsidRPr="007F5B9E">
        <w:rPr>
          <w:rFonts w:ascii="AytoRoquetas Light Condensed" w:hAnsi="AytoRoquetas Light Condensed" w:cs="Frutiger-LightCn"/>
          <w:szCs w:val="20"/>
        </w:rPr>
        <w:t xml:space="preserve"> de 202</w:t>
      </w:r>
      <w:r w:rsidRPr="007F5B9E">
        <w:rPr>
          <w:rFonts w:ascii="AytoRoquetas Light Condensed" w:hAnsi="AytoRoquetas Light Condensed" w:cs="Frutiger-LightCn"/>
          <w:szCs w:val="20"/>
        </w:rPr>
        <w:t>2</w:t>
      </w:r>
      <w:r w:rsidRPr="007F5B9E">
        <w:rPr>
          <w:rFonts w:ascii="AytoRoquetas Light Condensed" w:hAnsi="AytoRoquetas Light Condensed" w:cs="Frutiger-LightCn"/>
          <w:szCs w:val="20"/>
        </w:rPr>
        <w:t>:</w:t>
      </w:r>
    </w:p>
    <w:p w14:paraId="5C591FC5" w14:textId="0CDDED23" w:rsidR="00851136" w:rsidRPr="007F5B9E" w:rsidRDefault="00851136" w:rsidP="007F5B9E">
      <w:pPr>
        <w:spacing w:after="0" w:line="288" w:lineRule="auto"/>
        <w:jc w:val="both"/>
        <w:rPr>
          <w:rFonts w:ascii="AytoRoquetas Light Condensed" w:hAnsi="AytoRoquetas Light Condensed" w:cs="Frutiger-LightCn"/>
          <w:szCs w:val="20"/>
        </w:rPr>
      </w:pPr>
    </w:p>
    <w:p w14:paraId="54B057F4" w14:textId="35FCC123"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w:t>
      </w:r>
      <w:r w:rsidRPr="00F555E5">
        <w:rPr>
          <w:rFonts w:ascii="AytoRoquetas Light Condensed" w:hAnsi="AytoRoquetas Light Condensed" w:cs="Arial"/>
          <w:i/>
          <w:iC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C2B20E8" w14:textId="77777777" w:rsidR="007F5B9E" w:rsidRPr="00F555E5" w:rsidRDefault="007F5B9E" w:rsidP="007F5B9E">
      <w:pPr>
        <w:spacing w:after="0" w:line="288" w:lineRule="auto"/>
        <w:jc w:val="both"/>
        <w:rPr>
          <w:rFonts w:ascii="AytoRoquetas Light Condensed" w:hAnsi="AytoRoquetas Light Condensed" w:cs="Arial"/>
          <w:i/>
          <w:iCs/>
        </w:rPr>
      </w:pPr>
    </w:p>
    <w:p w14:paraId="6D9A2205" w14:textId="77777777" w:rsidR="007F5B9E" w:rsidRPr="00F555E5" w:rsidRDefault="007F5B9E" w:rsidP="007F5B9E">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4D180D6E" w14:textId="77777777" w:rsidR="007F5B9E" w:rsidRPr="00F555E5" w:rsidRDefault="007F5B9E" w:rsidP="007F5B9E">
      <w:pPr>
        <w:spacing w:after="0" w:line="288" w:lineRule="auto"/>
        <w:jc w:val="both"/>
        <w:rPr>
          <w:rFonts w:ascii="AytoRoquetas Light Condensed" w:hAnsi="AytoRoquetas Light Condensed" w:cs="Arial"/>
          <w:i/>
          <w:iCs/>
        </w:rPr>
      </w:pPr>
    </w:p>
    <w:p w14:paraId="2EC8194B" w14:textId="77777777" w:rsidR="007F5B9E" w:rsidRPr="00F555E5" w:rsidRDefault="007F5B9E" w:rsidP="007F5B9E">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Confeccionados los estados que componen la Cuenta General de la Entidad Local, correspondiente al ejercicio 2021, y una vez llevada a cabo la comprobación y análisis de los mismos, preparada la documentación complementaria exigida por la normativa vigente y una vez aprobada la liquidación del presupuesto del ejercicio 2021, mediante Decreto de Presidencia de 09 de febrero de 2022,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4D7F0E0A" w14:textId="77777777" w:rsidR="007F5B9E" w:rsidRPr="00F555E5" w:rsidRDefault="007F5B9E" w:rsidP="007F5B9E">
      <w:pPr>
        <w:spacing w:after="0" w:line="288" w:lineRule="auto"/>
        <w:jc w:val="both"/>
        <w:rPr>
          <w:rFonts w:ascii="AytoRoquetas Light Condensed" w:hAnsi="AytoRoquetas Light Condensed" w:cs="Arial"/>
          <w:i/>
          <w:iCs/>
        </w:rPr>
      </w:pPr>
    </w:p>
    <w:p w14:paraId="253D1FE4" w14:textId="77777777" w:rsidR="007F5B9E" w:rsidRPr="00F555E5" w:rsidRDefault="007F5B9E" w:rsidP="007F5B9E">
      <w:pPr>
        <w:pStyle w:val="Textodebloque"/>
        <w:spacing w:after="0" w:line="288" w:lineRule="auto"/>
        <w:ind w:left="0" w:right="0" w:firstLine="0"/>
        <w:jc w:val="center"/>
        <w:rPr>
          <w:rFonts w:ascii="AytoRoquetas Light Condensed" w:hAnsi="AytoRoquetas Light Condensed"/>
          <w:b/>
          <w:bCs/>
          <w:i/>
          <w:iCs/>
          <w:sz w:val="22"/>
        </w:rPr>
      </w:pPr>
      <w:r w:rsidRPr="00F555E5">
        <w:rPr>
          <w:rFonts w:ascii="AytoRoquetas Light Condensed" w:hAnsi="AytoRoquetas Light Condensed"/>
          <w:b/>
          <w:bCs/>
          <w:i/>
          <w:iCs/>
          <w:sz w:val="22"/>
        </w:rPr>
        <w:t>INFORME</w:t>
      </w:r>
    </w:p>
    <w:p w14:paraId="34FD3875" w14:textId="77777777" w:rsidR="007F5B9E" w:rsidRPr="00F555E5" w:rsidRDefault="007F5B9E" w:rsidP="007F5B9E">
      <w:pPr>
        <w:pStyle w:val="Textodebloque"/>
        <w:spacing w:after="0" w:line="288" w:lineRule="auto"/>
        <w:ind w:left="0" w:right="0" w:firstLine="0"/>
        <w:rPr>
          <w:rFonts w:ascii="AytoRoquetas Light Condensed" w:hAnsi="AytoRoquetas Light Condensed"/>
          <w:i/>
          <w:iCs/>
          <w:sz w:val="22"/>
        </w:rPr>
      </w:pPr>
    </w:p>
    <w:p w14:paraId="716BB70B" w14:textId="77777777" w:rsidR="007F5B9E" w:rsidRPr="00F555E5" w:rsidRDefault="007F5B9E" w:rsidP="007F5B9E">
      <w:pPr>
        <w:pStyle w:val="Textodebloque"/>
        <w:spacing w:after="0" w:line="288" w:lineRule="auto"/>
        <w:ind w:left="0" w:right="0" w:firstLine="0"/>
        <w:rPr>
          <w:rFonts w:ascii="AytoRoquetas Light Condensed" w:hAnsi="AytoRoquetas Light Condensed"/>
          <w:i/>
          <w:iCs/>
          <w:sz w:val="22"/>
        </w:rPr>
      </w:pPr>
      <w:r w:rsidRPr="00F555E5">
        <w:rPr>
          <w:rFonts w:ascii="AytoRoquetas Light Condensed" w:hAnsi="AytoRoquetas Light Condensed"/>
          <w:b/>
          <w:bCs/>
          <w:i/>
          <w:iCs/>
          <w:sz w:val="22"/>
        </w:rPr>
        <w:t>PRIMERO.</w:t>
      </w:r>
      <w:r w:rsidRPr="00F555E5">
        <w:rPr>
          <w:rFonts w:ascii="AytoRoquetas Light Condensed" w:hAnsi="AytoRoquetas Light Condensed"/>
          <w:i/>
          <w:iCs/>
          <w:sz w:val="22"/>
        </w:rPr>
        <w:t xml:space="preserve"> La Legislación aplicable es la siguiente:</w:t>
      </w:r>
    </w:p>
    <w:p w14:paraId="4C5A1955" w14:textId="77777777" w:rsidR="007F5B9E" w:rsidRPr="00F555E5" w:rsidRDefault="007F5B9E" w:rsidP="007F5B9E">
      <w:pPr>
        <w:pStyle w:val="Textoindependiente3"/>
        <w:spacing w:after="0" w:line="288" w:lineRule="auto"/>
        <w:jc w:val="both"/>
        <w:rPr>
          <w:rFonts w:ascii="AytoRoquetas Light Condensed" w:hAnsi="AytoRoquetas Light Condensed" w:cs="Arial"/>
          <w:i/>
          <w:iCs/>
          <w:sz w:val="22"/>
          <w:szCs w:val="24"/>
        </w:rPr>
      </w:pPr>
    </w:p>
    <w:p w14:paraId="378AA0EE"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Los artículos 22.2 e) y 116 de la Ley 7/1985, de 2 de abril, Reguladora de las Bases del Régimen Local.</w:t>
      </w:r>
    </w:p>
    <w:p w14:paraId="5C4C9623"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Ley 40/2015, de 1 de octubre, de Régimen Jurídico del Sector Público.</w:t>
      </w:r>
    </w:p>
    <w:p w14:paraId="0128A817"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Los artículos 208 a 212 del Texto Refundido de la Ley Reguladora de las Haciendas Locales aprobado por Real Decreto Legislativo 2/2004, de 5 de marzo.</w:t>
      </w:r>
    </w:p>
    <w:p w14:paraId="0FC53900"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El artículo 119.3 de la Ley 47/2003, de 26 de noviembre, General Presupuestaria.</w:t>
      </w:r>
    </w:p>
    <w:p w14:paraId="1C2862C9"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Las Reglas 44 y siguientes de la Orden HAP/1781/2013, de 20 de septiembre, por la que se aprueba la Instrucción del Modelo Normal de Contabilidad Local.</w:t>
      </w:r>
    </w:p>
    <w:p w14:paraId="54627752"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lastRenderedPageBreak/>
        <w:t>Resolución de 28 de julio de 2006, de la Intervención General de la Administración del Estado, por la que se recomienda un formato normalizado de la cuenta general de las entidades locales en soporte informático que facilite su rendición.</w:t>
      </w:r>
    </w:p>
    <w:p w14:paraId="6088731F"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La Orden EHA/3565/2008, de 3 de diciembre, por la que se Aprueba la Estructura de los Presupuestos de las Entidades Locales, modificada por la Orden HAP/419/2014, de 14 de marzo.</w:t>
      </w:r>
    </w:p>
    <w:p w14:paraId="6DB544D3"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5E1E4750" w14:textId="77777777" w:rsidR="007F5B9E" w:rsidRPr="00F555E5" w:rsidRDefault="007F5B9E" w:rsidP="007F5B9E">
      <w:pPr>
        <w:pStyle w:val="Prrafodelista"/>
        <w:numPr>
          <w:ilvl w:val="0"/>
          <w:numId w:val="2"/>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Convenio de 21 de abril de 2015, entre la Cámara de Cuentas de Andalucía y el Tribunal de Cuentas para la coordinación de la rendición telemática de las Cuentas Generales de las entidades locales andaluzas.</w:t>
      </w:r>
    </w:p>
    <w:p w14:paraId="4AA2C139" w14:textId="77777777" w:rsidR="007F5B9E" w:rsidRPr="00F555E5" w:rsidRDefault="007F5B9E" w:rsidP="007F5B9E">
      <w:pPr>
        <w:spacing w:after="0" w:line="288" w:lineRule="auto"/>
        <w:jc w:val="both"/>
        <w:rPr>
          <w:rFonts w:ascii="AytoRoquetas Light Condensed" w:hAnsi="AytoRoquetas Light Condensed" w:cs="Arial"/>
          <w:b/>
          <w:bCs/>
          <w:i/>
          <w:iCs/>
        </w:rPr>
      </w:pPr>
    </w:p>
    <w:p w14:paraId="60DB7688"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bCs/>
          <w:i/>
          <w:iCs/>
        </w:rPr>
        <w:t>SEGUNDO.</w:t>
      </w:r>
      <w:r w:rsidRPr="00F555E5">
        <w:rPr>
          <w:rFonts w:ascii="AytoRoquetas Light Condensed"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5E5F1C8A" w14:textId="77777777" w:rsidR="007F5B9E" w:rsidRPr="00F555E5" w:rsidRDefault="007F5B9E" w:rsidP="007F5B9E">
      <w:pPr>
        <w:spacing w:after="0" w:line="288" w:lineRule="auto"/>
        <w:jc w:val="both"/>
        <w:rPr>
          <w:rFonts w:ascii="AytoRoquetas Light Condensed" w:hAnsi="AytoRoquetas Light Condensed" w:cs="Arial"/>
          <w:i/>
          <w:iCs/>
        </w:rPr>
      </w:pPr>
    </w:p>
    <w:p w14:paraId="01D6D1DF" w14:textId="77777777" w:rsidR="007F5B9E" w:rsidRPr="00F555E5" w:rsidRDefault="007F5B9E" w:rsidP="007F5B9E">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293E1588" w14:textId="77777777" w:rsidR="007F5B9E" w:rsidRPr="00F555E5" w:rsidRDefault="007F5B9E" w:rsidP="007F5B9E">
      <w:pPr>
        <w:spacing w:after="0" w:line="288" w:lineRule="auto"/>
        <w:jc w:val="both"/>
        <w:rPr>
          <w:rFonts w:ascii="AytoRoquetas Light Condensed" w:hAnsi="AytoRoquetas Light Condensed" w:cs="Arial"/>
          <w:b/>
          <w:bCs/>
          <w:i/>
          <w:iCs/>
        </w:rPr>
      </w:pPr>
    </w:p>
    <w:p w14:paraId="4DCCBAC1"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bCs/>
          <w:i/>
          <w:iCs/>
        </w:rPr>
        <w:t>TERCERO.</w:t>
      </w:r>
      <w:r w:rsidRPr="00F555E5">
        <w:rPr>
          <w:rFonts w:ascii="AytoRoquetas Light Condensed"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42255F5F" w14:textId="77777777" w:rsidR="007F5B9E" w:rsidRPr="00F555E5" w:rsidRDefault="007F5B9E" w:rsidP="007F5B9E">
      <w:pPr>
        <w:spacing w:after="0" w:line="288" w:lineRule="auto"/>
        <w:jc w:val="both"/>
        <w:rPr>
          <w:rFonts w:ascii="AytoRoquetas Light Condensed" w:hAnsi="AytoRoquetas Light Condensed" w:cs="Arial"/>
          <w:i/>
          <w:iCs/>
        </w:rPr>
      </w:pPr>
    </w:p>
    <w:p w14:paraId="2EC89083"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bCs/>
          <w:i/>
          <w:iCs/>
        </w:rPr>
        <w:t>CUARTO.</w:t>
      </w:r>
      <w:r w:rsidRPr="00F555E5">
        <w:rPr>
          <w:rFonts w:ascii="AytoRoquetas Light Condensed"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5F5CB2A0" w14:textId="77777777" w:rsidR="007F5B9E" w:rsidRPr="00F555E5" w:rsidRDefault="007F5B9E" w:rsidP="007F5B9E">
      <w:pPr>
        <w:spacing w:after="0" w:line="288" w:lineRule="auto"/>
        <w:jc w:val="both"/>
        <w:rPr>
          <w:rFonts w:ascii="AytoRoquetas Light Condensed" w:hAnsi="AytoRoquetas Light Condensed" w:cs="Arial"/>
          <w:i/>
          <w:iCs/>
        </w:rPr>
      </w:pPr>
    </w:p>
    <w:p w14:paraId="023D9772"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bCs/>
          <w:i/>
          <w:iCs/>
        </w:rPr>
        <w:t>SEXTO.</w:t>
      </w:r>
      <w:r w:rsidRPr="00F555E5">
        <w:rPr>
          <w:rFonts w:ascii="AytoRoquetas Light Condensed" w:hAnsi="AytoRoquetas Light Condensed" w:cs="Arial"/>
          <w:i/>
          <w:iCs/>
        </w:rPr>
        <w:t xml:space="preserve"> Las cuentas anuales que integran la Cuenta de la propia entidad son las siguientes:</w:t>
      </w:r>
    </w:p>
    <w:p w14:paraId="0FE7926F" w14:textId="77777777" w:rsidR="007F5B9E" w:rsidRPr="00F555E5" w:rsidRDefault="007F5B9E" w:rsidP="007F5B9E">
      <w:pPr>
        <w:spacing w:after="0" w:line="288" w:lineRule="auto"/>
        <w:jc w:val="both"/>
        <w:rPr>
          <w:rFonts w:ascii="AytoRoquetas Light Condensed" w:hAnsi="AytoRoquetas Light Condensed" w:cs="Arial"/>
          <w:i/>
          <w:iCs/>
        </w:rPr>
      </w:pPr>
    </w:p>
    <w:p w14:paraId="41E971A3"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a) El Balance.</w:t>
      </w:r>
    </w:p>
    <w:p w14:paraId="33B9455E"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b) La Cuenta del resultado económico-patrimonial.</w:t>
      </w:r>
    </w:p>
    <w:p w14:paraId="65A7081B"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c) El Estado de cambios en el patrimonio neto.</w:t>
      </w:r>
    </w:p>
    <w:p w14:paraId="53EECF4C"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d) El Estado de flujos de efectivo.</w:t>
      </w:r>
    </w:p>
    <w:p w14:paraId="0B936823"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e) El Estado de Liquidación del Presupuesto.</w:t>
      </w:r>
    </w:p>
    <w:p w14:paraId="310EABCE" w14:textId="77777777" w:rsidR="007F5B9E" w:rsidRPr="00F555E5" w:rsidRDefault="007F5B9E" w:rsidP="007F5B9E">
      <w:pPr>
        <w:spacing w:after="0" w:line="288" w:lineRule="auto"/>
        <w:ind w:left="567"/>
        <w:jc w:val="both"/>
        <w:rPr>
          <w:rFonts w:ascii="AytoRoquetas Light Condensed" w:hAnsi="AytoRoquetas Light Condensed" w:cs="Arial"/>
          <w:i/>
          <w:iCs/>
        </w:rPr>
      </w:pPr>
      <w:r w:rsidRPr="00F555E5">
        <w:rPr>
          <w:rFonts w:ascii="AytoRoquetas Light Condensed" w:hAnsi="AytoRoquetas Light Condensed" w:cs="Arial"/>
          <w:i/>
          <w:iCs/>
        </w:rPr>
        <w:t>f) La Memoria.</w:t>
      </w:r>
    </w:p>
    <w:p w14:paraId="1AE1D44E" w14:textId="77777777" w:rsidR="007F5B9E" w:rsidRPr="00F555E5" w:rsidRDefault="007F5B9E" w:rsidP="007F5B9E">
      <w:pPr>
        <w:spacing w:after="0" w:line="288" w:lineRule="auto"/>
        <w:jc w:val="both"/>
        <w:rPr>
          <w:rFonts w:ascii="AytoRoquetas Light Condensed" w:hAnsi="AytoRoquetas Light Condensed" w:cs="Arial"/>
          <w:i/>
          <w:iCs/>
        </w:rPr>
      </w:pPr>
    </w:p>
    <w:p w14:paraId="649A7F56"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A las cuentas anuales del Consorcio deberá unirse la siguiente documentación:</w:t>
      </w:r>
    </w:p>
    <w:p w14:paraId="1613FFA1" w14:textId="77777777" w:rsidR="007F5B9E" w:rsidRPr="00F555E5" w:rsidRDefault="007F5B9E" w:rsidP="007F5B9E">
      <w:pPr>
        <w:spacing w:after="0" w:line="288" w:lineRule="auto"/>
        <w:jc w:val="both"/>
        <w:rPr>
          <w:rFonts w:ascii="AytoRoquetas Light Condensed" w:hAnsi="AytoRoquetas Light Condensed" w:cs="Arial"/>
          <w:i/>
          <w:iCs/>
        </w:rPr>
      </w:pPr>
    </w:p>
    <w:p w14:paraId="184280DB" w14:textId="77777777" w:rsidR="007F5B9E" w:rsidRPr="00F555E5" w:rsidRDefault="007F5B9E" w:rsidP="007F5B9E">
      <w:pPr>
        <w:pStyle w:val="Prrafodelista"/>
        <w:numPr>
          <w:ilvl w:val="0"/>
          <w:numId w:val="2"/>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 xml:space="preserve">Actas de arqueo de las existencias en Caja referidas a fin de ejercicio. </w:t>
      </w:r>
    </w:p>
    <w:p w14:paraId="4A562255" w14:textId="77777777" w:rsidR="007F5B9E" w:rsidRPr="00F555E5" w:rsidRDefault="007F5B9E" w:rsidP="007F5B9E">
      <w:pPr>
        <w:spacing w:after="0" w:line="288" w:lineRule="auto"/>
        <w:jc w:val="both"/>
        <w:rPr>
          <w:rFonts w:ascii="AytoRoquetas Light Condensed" w:hAnsi="AytoRoquetas Light Condensed" w:cs="Arial"/>
          <w:i/>
          <w:iCs/>
        </w:rPr>
      </w:pPr>
    </w:p>
    <w:p w14:paraId="656FE95F"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1158E131"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19C3DC0F" w14:textId="77777777" w:rsidR="007F5B9E" w:rsidRPr="00F555E5" w:rsidRDefault="007F5B9E" w:rsidP="007F5B9E">
      <w:pPr>
        <w:spacing w:after="0" w:line="288" w:lineRule="auto"/>
        <w:jc w:val="both"/>
        <w:rPr>
          <w:rFonts w:ascii="AytoRoquetas Light Condensed" w:hAnsi="AytoRoquetas Light Condensed" w:cs="Arial"/>
          <w:i/>
          <w:iCs/>
        </w:rPr>
      </w:pPr>
    </w:p>
    <w:p w14:paraId="09DDFB54"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bCs/>
          <w:i/>
          <w:iCs/>
        </w:rPr>
        <w:t>SÉPTIMO.</w:t>
      </w:r>
      <w:r w:rsidRPr="00F555E5">
        <w:rPr>
          <w:rFonts w:ascii="AytoRoquetas Light Condensed"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23FF6AC2" w14:textId="77777777" w:rsidR="007F5B9E" w:rsidRPr="00F555E5" w:rsidRDefault="007F5B9E" w:rsidP="007F5B9E">
      <w:pPr>
        <w:pStyle w:val="Prrafodelista"/>
        <w:spacing w:line="288" w:lineRule="auto"/>
        <w:ind w:left="0"/>
        <w:jc w:val="both"/>
        <w:rPr>
          <w:rFonts w:ascii="AytoRoquetas Light Condensed" w:hAnsi="AytoRoquetas Light Condensed" w:cs="Arial"/>
          <w:i/>
          <w:iCs/>
          <w:sz w:val="22"/>
        </w:rPr>
      </w:pPr>
    </w:p>
    <w:p w14:paraId="18AF5285"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i/>
          <w:iCs/>
        </w:rPr>
        <w:t>OCTAVO.</w:t>
      </w:r>
      <w:r w:rsidRPr="00F555E5">
        <w:rPr>
          <w:rFonts w:ascii="AytoRoquetas Light Condensed"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18FD7B15" w14:textId="77777777" w:rsidR="007F5B9E" w:rsidRPr="00F555E5" w:rsidRDefault="007F5B9E" w:rsidP="007F5B9E">
      <w:pPr>
        <w:spacing w:after="0" w:line="288" w:lineRule="auto"/>
        <w:jc w:val="both"/>
        <w:rPr>
          <w:rFonts w:ascii="AytoRoquetas Light Condensed" w:hAnsi="AytoRoquetas Light Condensed" w:cs="Arial"/>
          <w:i/>
          <w:iCs/>
        </w:rPr>
      </w:pPr>
    </w:p>
    <w:p w14:paraId="4F678209" w14:textId="77777777" w:rsidR="007F5B9E" w:rsidRPr="00F555E5" w:rsidRDefault="007F5B9E" w:rsidP="007F5B9E">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F555E5">
        <w:rPr>
          <w:rFonts w:ascii="AytoRoquetas Light Condensed" w:hAnsi="AytoRoquetas Light Condensed" w:cs="Arial"/>
          <w:b/>
          <w:bCs/>
          <w:i/>
          <w:iCs/>
        </w:rPr>
        <w:t xml:space="preserve">  </w:t>
      </w:r>
      <w:r w:rsidRPr="00F555E5">
        <w:rPr>
          <w:rFonts w:ascii="AytoRoquetas Light Condensed" w:hAnsi="AytoRoquetas Light Condensed" w:cs="Arial"/>
          <w:i/>
          <w:iCs/>
        </w:rPr>
        <w:t>Se deberá remitir una vez aprobada definitivamente la Cuenta General del Consorcio al Ayuntamiento de Roquetas de Mar, para completar y remitir a la Cámara de Cuentas.</w:t>
      </w:r>
    </w:p>
    <w:p w14:paraId="50F46FF5" w14:textId="77777777" w:rsidR="007F5B9E" w:rsidRPr="00F555E5" w:rsidRDefault="007F5B9E" w:rsidP="007F5B9E">
      <w:pPr>
        <w:spacing w:after="0" w:line="288" w:lineRule="auto"/>
        <w:jc w:val="both"/>
        <w:rPr>
          <w:rFonts w:ascii="AytoRoquetas Light Condensed" w:hAnsi="AytoRoquetas Light Condensed" w:cs="Arial"/>
          <w:i/>
          <w:iCs/>
        </w:rPr>
      </w:pPr>
    </w:p>
    <w:p w14:paraId="4C77D7EE"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b/>
          <w:i/>
          <w:iCs/>
        </w:rPr>
        <w:t>DÉCIMO.</w:t>
      </w:r>
      <w:r w:rsidRPr="00F555E5">
        <w:rPr>
          <w:rFonts w:ascii="AytoRoquetas Light Condensed" w:hAnsi="AytoRoquetas Light Condensed" w:cs="Arial"/>
          <w:i/>
          <w:iCs/>
        </w:rPr>
        <w:t xml:space="preserve"> Una vez formada y analizada la Cuenta General del ejercicio 2021, se procede al análisis y evaluación de las conclusiones y recomendaciones, de forma que se lleve a cabo una planificación del trabajo a realizar para implementar dichas recomendaciones.</w:t>
      </w:r>
    </w:p>
    <w:p w14:paraId="2CA39BB4" w14:textId="77777777" w:rsidR="007F5B9E" w:rsidRPr="00F555E5" w:rsidRDefault="007F5B9E" w:rsidP="007F5B9E">
      <w:pPr>
        <w:spacing w:after="0" w:line="288" w:lineRule="auto"/>
        <w:jc w:val="both"/>
        <w:rPr>
          <w:rFonts w:ascii="AytoRoquetas Light Condensed" w:hAnsi="AytoRoquetas Light Condensed" w:cs="Arial"/>
          <w:i/>
          <w:iCs/>
        </w:rPr>
      </w:pPr>
    </w:p>
    <w:p w14:paraId="1B9924DB" w14:textId="77777777" w:rsidR="007F5B9E" w:rsidRPr="00F555E5" w:rsidRDefault="007F5B9E" w:rsidP="007F5B9E">
      <w:pPr>
        <w:pStyle w:val="Prrafodelista"/>
        <w:numPr>
          <w:ilvl w:val="0"/>
          <w:numId w:val="3"/>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 xml:space="preserve">El Consorcio deberán remitir al Ayuntamiento de Roquetas de Mar una vez aprobada la Cuenta General para su incorporación y remisión a la Cámara de Cuentas- </w:t>
      </w:r>
    </w:p>
    <w:p w14:paraId="5D279E94" w14:textId="77777777" w:rsidR="007F5B9E" w:rsidRPr="00F555E5" w:rsidRDefault="007F5B9E" w:rsidP="007F5B9E">
      <w:pPr>
        <w:pStyle w:val="Prrafodelista"/>
        <w:numPr>
          <w:ilvl w:val="0"/>
          <w:numId w:val="3"/>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53FB765F" w14:textId="77777777" w:rsidR="007F5B9E" w:rsidRPr="00F555E5" w:rsidRDefault="007F5B9E" w:rsidP="007F5B9E">
      <w:pPr>
        <w:pStyle w:val="Prrafodelista"/>
        <w:numPr>
          <w:ilvl w:val="0"/>
          <w:numId w:val="3"/>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 xml:space="preserve">El Consorcio no dispone de un inventario de bienes, lo cual impide un adecuado registro contable del área de inmovilizado, al no poderse identificar, ni valorar gran parte del patrimonio que posee el Consorcio. </w:t>
      </w:r>
    </w:p>
    <w:p w14:paraId="70F8F5D9" w14:textId="7A016F31" w:rsidR="007F5B9E" w:rsidRPr="00F555E5" w:rsidRDefault="007F5B9E" w:rsidP="007F5B9E">
      <w:pPr>
        <w:pStyle w:val="Prrafodelista"/>
        <w:numPr>
          <w:ilvl w:val="0"/>
          <w:numId w:val="3"/>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 xml:space="preserve">El Consorcio no posee </w:t>
      </w:r>
      <w:r w:rsidR="00586C33" w:rsidRPr="00F555E5">
        <w:rPr>
          <w:rFonts w:ascii="AytoRoquetas Light Condensed" w:hAnsi="AytoRoquetas Light Condensed" w:cs="Arial"/>
          <w:i/>
          <w:iCs/>
          <w:sz w:val="22"/>
        </w:rPr>
        <w:t>más</w:t>
      </w:r>
      <w:r w:rsidRPr="00F555E5">
        <w:rPr>
          <w:rFonts w:ascii="AytoRoquetas Light Condensed" w:hAnsi="AytoRoquetas Light Condensed" w:cs="Arial"/>
          <w:i/>
          <w:iCs/>
          <w:sz w:val="22"/>
        </w:rPr>
        <w:t xml:space="preserve"> ingresos que los de carácter patrimonial procedentes del canon que las propias concesionarias abonan; sin </w:t>
      </w:r>
      <w:r w:rsidR="00586C33" w:rsidRPr="00F555E5">
        <w:rPr>
          <w:rFonts w:ascii="AytoRoquetas Light Condensed" w:hAnsi="AytoRoquetas Light Condensed" w:cs="Arial"/>
          <w:i/>
          <w:iCs/>
          <w:sz w:val="22"/>
        </w:rPr>
        <w:t>embargo,</w:t>
      </w:r>
      <w:r w:rsidRPr="00F555E5">
        <w:rPr>
          <w:rFonts w:ascii="AytoRoquetas Light Condensed" w:hAnsi="AytoRoquetas Light Condensed" w:cs="Arial"/>
          <w:i/>
          <w:iCs/>
          <w:sz w:val="22"/>
        </w:rPr>
        <w:t xml:space="preserve"> si tiene ordenanzas de ingresos, que no están siendo aplicadas.</w:t>
      </w:r>
    </w:p>
    <w:p w14:paraId="19FC6FC9" w14:textId="77777777" w:rsidR="007F5B9E" w:rsidRPr="00F555E5" w:rsidRDefault="007F5B9E" w:rsidP="007F5B9E">
      <w:pPr>
        <w:pStyle w:val="Prrafodelista"/>
        <w:numPr>
          <w:ilvl w:val="0"/>
          <w:numId w:val="3"/>
        </w:numPr>
        <w:spacing w:line="288" w:lineRule="auto"/>
        <w:ind w:left="0"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w:t>
      </w:r>
      <w:proofErr w:type="gramStart"/>
      <w:r w:rsidRPr="00F555E5">
        <w:rPr>
          <w:rFonts w:ascii="AytoRoquetas Light Condensed" w:hAnsi="AytoRoquetas Light Condensed" w:cs="Arial"/>
          <w:i/>
          <w:iCs/>
          <w:sz w:val="22"/>
        </w:rPr>
        <w:t>Alcalde</w:t>
      </w:r>
      <w:proofErr w:type="gramEnd"/>
      <w:r w:rsidRPr="00F555E5">
        <w:rPr>
          <w:rFonts w:ascii="AytoRoquetas Light Condensed" w:hAnsi="AytoRoquetas Light Condensed" w:cs="Arial"/>
          <w:i/>
          <w:iCs/>
          <w:sz w:val="22"/>
        </w:rPr>
        <w:t xml:space="preserve"> de Roquetas de Mar, notificado a los Presidentes de cada de los tres Consorcios. </w:t>
      </w:r>
    </w:p>
    <w:p w14:paraId="04591F81" w14:textId="77777777" w:rsidR="007F5B9E" w:rsidRPr="00F555E5" w:rsidRDefault="007F5B9E" w:rsidP="007F5B9E">
      <w:pPr>
        <w:pStyle w:val="Prrafodelista"/>
        <w:spacing w:line="288" w:lineRule="auto"/>
        <w:ind w:left="0"/>
        <w:jc w:val="both"/>
        <w:rPr>
          <w:rFonts w:ascii="AytoRoquetas Light Condensed" w:hAnsi="AytoRoquetas Light Condensed" w:cs="Arial"/>
          <w:i/>
          <w:iCs/>
          <w:sz w:val="22"/>
        </w:rPr>
      </w:pPr>
    </w:p>
    <w:p w14:paraId="6A1A5527" w14:textId="77777777" w:rsidR="007F5B9E" w:rsidRPr="00F555E5" w:rsidRDefault="007F5B9E" w:rsidP="007F5B9E">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0F41A957" w14:textId="77777777" w:rsidR="007F5B9E" w:rsidRPr="00F555E5" w:rsidRDefault="007F5B9E" w:rsidP="007F5B9E">
      <w:pPr>
        <w:spacing w:after="0" w:line="288" w:lineRule="auto"/>
        <w:jc w:val="both"/>
        <w:rPr>
          <w:rFonts w:ascii="AytoRoquetas Light Condensed" w:hAnsi="AytoRoquetas Light Condensed" w:cs="Arial"/>
          <w:i/>
          <w:iCs/>
        </w:rPr>
      </w:pPr>
    </w:p>
    <w:p w14:paraId="650A1EDB"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Asimismo, es necesario concluir:</w:t>
      </w:r>
    </w:p>
    <w:p w14:paraId="504EB6DC" w14:textId="77777777" w:rsidR="007F5B9E" w:rsidRPr="00F555E5" w:rsidRDefault="007F5B9E" w:rsidP="007F5B9E">
      <w:pPr>
        <w:spacing w:after="0" w:line="288" w:lineRule="auto"/>
        <w:jc w:val="both"/>
        <w:rPr>
          <w:rFonts w:ascii="AytoRoquetas Light Condensed" w:hAnsi="AytoRoquetas Light Condensed" w:cs="Arial"/>
          <w:i/>
          <w:iCs/>
        </w:rPr>
      </w:pPr>
    </w:p>
    <w:p w14:paraId="76CA0710" w14:textId="77777777" w:rsidR="007F5B9E" w:rsidRPr="00F555E5" w:rsidRDefault="007F5B9E" w:rsidP="00DC44F6">
      <w:pPr>
        <w:pStyle w:val="Prrafodelista"/>
        <w:numPr>
          <w:ilvl w:val="0"/>
          <w:numId w:val="1"/>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Que se remiten todos los Estados Contables y la documentación complementaria exigidas por la normativa vigente.</w:t>
      </w:r>
    </w:p>
    <w:p w14:paraId="3F7DD54B" w14:textId="77777777" w:rsidR="007F5B9E" w:rsidRPr="00F555E5" w:rsidRDefault="007F5B9E" w:rsidP="00DC44F6">
      <w:pPr>
        <w:pStyle w:val="Prrafodelista"/>
        <w:numPr>
          <w:ilvl w:val="0"/>
          <w:numId w:val="1"/>
        </w:numPr>
        <w:spacing w:line="288" w:lineRule="auto"/>
        <w:ind w:left="567" w:firstLine="0"/>
        <w:jc w:val="both"/>
        <w:rPr>
          <w:rFonts w:ascii="AytoRoquetas Light Condensed" w:hAnsi="AytoRoquetas Light Condensed" w:cs="Arial"/>
          <w:i/>
          <w:iCs/>
          <w:sz w:val="22"/>
        </w:rPr>
      </w:pPr>
      <w:r w:rsidRPr="00F555E5">
        <w:rPr>
          <w:rFonts w:ascii="AytoRoquetas Light Condensed" w:hAnsi="AytoRoquetas Light Condensed" w:cs="Arial"/>
          <w:i/>
          <w:iCs/>
          <w:sz w:val="22"/>
        </w:rPr>
        <w:t>Que los expedientes, documentos y libros mencionados en el Título II de la Instrucción de Contabilidad se encuentran a disposición del Tribunal de Cuentas.</w:t>
      </w:r>
    </w:p>
    <w:p w14:paraId="596C680D" w14:textId="77777777" w:rsidR="007F5B9E" w:rsidRPr="00F555E5" w:rsidRDefault="007F5B9E" w:rsidP="007F5B9E">
      <w:pPr>
        <w:spacing w:after="0" w:line="288" w:lineRule="auto"/>
        <w:jc w:val="both"/>
        <w:rPr>
          <w:rFonts w:ascii="AytoRoquetas Light Condensed" w:hAnsi="AytoRoquetas Light Condensed" w:cs="Arial"/>
          <w:i/>
          <w:iCs/>
        </w:rPr>
      </w:pPr>
    </w:p>
    <w:p w14:paraId="2EE09157" w14:textId="77777777" w:rsidR="007F5B9E" w:rsidRPr="00F555E5" w:rsidRDefault="007F5B9E" w:rsidP="007F5B9E">
      <w:pPr>
        <w:spacing w:after="0" w:line="288" w:lineRule="auto"/>
        <w:jc w:val="both"/>
        <w:rPr>
          <w:rFonts w:ascii="AytoRoquetas Light Condensed" w:hAnsi="AytoRoquetas Light Condensed" w:cs="Arial"/>
          <w:i/>
          <w:iCs/>
        </w:rPr>
      </w:pPr>
      <w:r w:rsidRPr="00F555E5">
        <w:rPr>
          <w:rFonts w:ascii="AytoRoquetas Light Condensed" w:hAnsi="AytoRoquetas Light Condensed" w:cs="Arial"/>
          <w:i/>
          <w:iCs/>
        </w:rPr>
        <w:t xml:space="preserve">En virtud de todo lo expuesto en este Informe, </w:t>
      </w:r>
      <w:r w:rsidRPr="00F555E5">
        <w:rPr>
          <w:rFonts w:ascii="AytoRoquetas Light Condensed" w:hAnsi="AytoRoquetas Light Condensed" w:cs="Arial"/>
          <w:b/>
          <w:bCs/>
          <w:i/>
          <w:iCs/>
          <w:u w:val="single"/>
        </w:rPr>
        <w:t>procede tramitar las Cuenta General del Consorcio correspondientes al ejercicio 2021</w:t>
      </w:r>
      <w:r w:rsidRPr="00F555E5">
        <w:rPr>
          <w:rFonts w:ascii="AytoRoquetas Light Condensed" w:hAnsi="AytoRoquetas Light Condensed" w:cs="Arial"/>
          <w:i/>
          <w:iCs/>
        </w:rPr>
        <w:t>.</w:t>
      </w:r>
    </w:p>
    <w:p w14:paraId="78348F8B" w14:textId="77777777" w:rsidR="007F5B9E" w:rsidRPr="00F555E5" w:rsidRDefault="007F5B9E" w:rsidP="007F5B9E">
      <w:pPr>
        <w:spacing w:after="0" w:line="288" w:lineRule="auto"/>
        <w:jc w:val="both"/>
        <w:rPr>
          <w:rFonts w:ascii="AytoRoquetas Light Condensed" w:hAnsi="AytoRoquetas Light Condensed" w:cs="Arial"/>
          <w:i/>
          <w:iCs/>
        </w:rPr>
      </w:pPr>
    </w:p>
    <w:p w14:paraId="1373B8A4" w14:textId="5653E806" w:rsidR="007F5B9E" w:rsidRPr="00F555E5" w:rsidRDefault="007F5B9E" w:rsidP="00144DFC">
      <w:pPr>
        <w:spacing w:after="0" w:line="288" w:lineRule="auto"/>
        <w:ind w:firstLine="1134"/>
        <w:jc w:val="both"/>
        <w:rPr>
          <w:rFonts w:ascii="AytoRoquetas Light Condensed" w:hAnsi="AytoRoquetas Light Condensed" w:cs="Arial"/>
          <w:i/>
          <w:iCs/>
        </w:rPr>
      </w:pPr>
      <w:r w:rsidRPr="00F555E5">
        <w:rPr>
          <w:rFonts w:ascii="AytoRoquetas Light Condensed" w:hAnsi="AytoRoquetas Light Condensed" w:cs="Arial"/>
          <w:i/>
          <w:iCs/>
        </w:rPr>
        <w:t>Es cuanto tengo el honor de informar, sin perjuicio de cualquier otra consideración mejor fundada en derecho.</w:t>
      </w:r>
      <w:r w:rsidR="00F555E5">
        <w:rPr>
          <w:rFonts w:ascii="AytoRoquetas Light Condensed" w:hAnsi="AytoRoquetas Light Condensed" w:cs="Arial"/>
          <w:i/>
          <w:iCs/>
        </w:rPr>
        <w:t>”</w:t>
      </w:r>
    </w:p>
    <w:p w14:paraId="38DF203F" w14:textId="7DE43F42" w:rsidR="007F5B9E" w:rsidRPr="007F5B9E" w:rsidRDefault="007F5B9E" w:rsidP="007F5B9E">
      <w:pPr>
        <w:spacing w:after="0" w:line="288" w:lineRule="auto"/>
        <w:jc w:val="both"/>
        <w:rPr>
          <w:rFonts w:ascii="AytoRoquetas Light Condensed" w:hAnsi="AytoRoquetas Light Condensed" w:cs="Frutiger-LightCn"/>
          <w:szCs w:val="20"/>
        </w:rPr>
      </w:pPr>
    </w:p>
    <w:p w14:paraId="727A84F6" w14:textId="5E8B1D39" w:rsidR="005D7CEB" w:rsidRDefault="0097678B" w:rsidP="007F5B9E">
      <w:pPr>
        <w:spacing w:after="0" w:line="288" w:lineRule="auto"/>
        <w:ind w:firstLine="1134"/>
        <w:jc w:val="both"/>
        <w:rPr>
          <w:rFonts w:ascii="AytoRoquetas Light Condensed" w:hAnsi="AytoRoquetas Light Condensed" w:cs="Frutiger-LightCn"/>
          <w:szCs w:val="20"/>
        </w:rPr>
      </w:pPr>
      <w:r w:rsidRPr="007F5B9E">
        <w:rPr>
          <w:rFonts w:ascii="AytoRoquetas Light Condensed" w:hAnsi="AytoRoquetas Light Condensed" w:cs="Frutiger-LightCn"/>
          <w:szCs w:val="20"/>
        </w:rPr>
        <w:t xml:space="preserve">La </w:t>
      </w:r>
      <w:r w:rsidRPr="007F5B9E">
        <w:rPr>
          <w:rFonts w:ascii="AytoRoquetas Light Condensed" w:hAnsi="AytoRoquetas Light Condensed" w:cs="Frutiger-LightCn,Bold"/>
          <w:b/>
          <w:bCs/>
          <w:szCs w:val="20"/>
        </w:rPr>
        <w:t xml:space="preserve">JUNTA GENERAL </w:t>
      </w:r>
      <w:r w:rsidRPr="007F5B9E">
        <w:rPr>
          <w:rFonts w:ascii="AytoRoquetas Light Condensed" w:hAnsi="AytoRoquetas Light Condensed" w:cs="Frutiger-LightCn"/>
          <w:szCs w:val="20"/>
        </w:rPr>
        <w:t>una vez transcurrido el plazo de exposición pública y no habiéndose</w:t>
      </w:r>
      <w:r w:rsidR="00851136" w:rsidRPr="007F5B9E">
        <w:rPr>
          <w:rFonts w:ascii="AytoRoquetas Light Condensed" w:hAnsi="AytoRoquetas Light Condensed" w:cs="Frutiger-LightCn"/>
          <w:szCs w:val="20"/>
        </w:rPr>
        <w:t xml:space="preserve"> </w:t>
      </w:r>
      <w:r w:rsidRPr="007F5B9E">
        <w:rPr>
          <w:rFonts w:ascii="AytoRoquetas Light Condensed" w:hAnsi="AytoRoquetas Light Condensed" w:cs="Frutiger-LightCn"/>
          <w:szCs w:val="20"/>
        </w:rPr>
        <w:t xml:space="preserve">producido ninguna observación ni reclamación (BOP de Almería Núm. </w:t>
      </w:r>
      <w:r w:rsidRPr="007F5B9E">
        <w:rPr>
          <w:rFonts w:ascii="AytoRoquetas Light Condensed" w:hAnsi="AytoRoquetas Light Condensed" w:cs="Frutiger-LightCn"/>
          <w:szCs w:val="20"/>
        </w:rPr>
        <w:t>8</w:t>
      </w:r>
      <w:r w:rsidRPr="007F5B9E">
        <w:rPr>
          <w:rFonts w:ascii="AytoRoquetas Light Condensed" w:hAnsi="AytoRoquetas Light Condensed" w:cs="Frutiger-LightCn"/>
          <w:szCs w:val="20"/>
        </w:rPr>
        <w:t xml:space="preserve"> de </w:t>
      </w:r>
      <w:r w:rsidRPr="007F5B9E">
        <w:rPr>
          <w:rFonts w:ascii="AytoRoquetas Light Condensed" w:hAnsi="AytoRoquetas Light Condensed" w:cs="Frutiger-LightCn"/>
          <w:szCs w:val="20"/>
        </w:rPr>
        <w:t>1</w:t>
      </w:r>
      <w:r w:rsidRPr="007F5B9E">
        <w:rPr>
          <w:rFonts w:ascii="AytoRoquetas Light Condensed" w:hAnsi="AytoRoquetas Light Condensed" w:cs="Frutiger-LightCn"/>
          <w:szCs w:val="20"/>
        </w:rPr>
        <w:t xml:space="preserve">3 de </w:t>
      </w:r>
      <w:r w:rsidRPr="007F5B9E">
        <w:rPr>
          <w:rFonts w:ascii="AytoRoquetas Light Condensed" w:hAnsi="AytoRoquetas Light Condensed" w:cs="Frutiger-LightCn"/>
          <w:szCs w:val="20"/>
        </w:rPr>
        <w:t>enero</w:t>
      </w:r>
      <w:r w:rsidRPr="007F5B9E">
        <w:rPr>
          <w:rFonts w:ascii="AytoRoquetas Light Condensed" w:hAnsi="AytoRoquetas Light Condensed" w:cs="Frutiger-LightCn"/>
          <w:szCs w:val="20"/>
        </w:rPr>
        <w:t xml:space="preserve"> de</w:t>
      </w:r>
      <w:r w:rsidR="00851136" w:rsidRPr="007F5B9E">
        <w:rPr>
          <w:rFonts w:ascii="AytoRoquetas Light Condensed" w:hAnsi="AytoRoquetas Light Condensed" w:cs="Frutiger-LightCn"/>
          <w:szCs w:val="20"/>
        </w:rPr>
        <w:t xml:space="preserve"> </w:t>
      </w:r>
      <w:r w:rsidRPr="007F5B9E">
        <w:rPr>
          <w:rFonts w:ascii="AytoRoquetas Light Condensed" w:hAnsi="AytoRoquetas Light Condensed" w:cs="Frutiger-LightCn"/>
          <w:szCs w:val="20"/>
        </w:rPr>
        <w:t>202</w:t>
      </w:r>
      <w:r w:rsidRPr="007F5B9E">
        <w:rPr>
          <w:rFonts w:ascii="AytoRoquetas Light Condensed" w:hAnsi="AytoRoquetas Light Condensed" w:cs="Frutiger-LightCn"/>
          <w:szCs w:val="20"/>
        </w:rPr>
        <w:t>3</w:t>
      </w:r>
      <w:r w:rsidRPr="007F5B9E">
        <w:rPr>
          <w:rFonts w:ascii="AytoRoquetas Light Condensed" w:hAnsi="AytoRoquetas Light Condensed" w:cs="Frutiger-LightCn"/>
          <w:szCs w:val="20"/>
        </w:rPr>
        <w:t>), ha resuelto por unanimidad de los miembros asistentes APROBAR la Cuenta General del</w:t>
      </w:r>
      <w:r w:rsidR="00851136" w:rsidRPr="007F5B9E">
        <w:rPr>
          <w:rFonts w:ascii="AytoRoquetas Light Condensed" w:hAnsi="AytoRoquetas Light Condensed" w:cs="Frutiger-LightCn"/>
          <w:szCs w:val="20"/>
        </w:rPr>
        <w:t xml:space="preserve"> </w:t>
      </w:r>
      <w:r w:rsidRPr="007F5B9E">
        <w:rPr>
          <w:rFonts w:ascii="AytoRoquetas Light Condensed" w:hAnsi="AytoRoquetas Light Condensed" w:cs="Frutiger-LightCn"/>
          <w:szCs w:val="20"/>
        </w:rPr>
        <w:t>ejercicio 202</w:t>
      </w:r>
      <w:r w:rsidRPr="007F5B9E">
        <w:rPr>
          <w:rFonts w:ascii="AytoRoquetas Light Condensed" w:hAnsi="AytoRoquetas Light Condensed" w:cs="Frutiger-LightCn"/>
          <w:szCs w:val="20"/>
        </w:rPr>
        <w:t>1</w:t>
      </w:r>
      <w:r w:rsidRPr="007F5B9E">
        <w:rPr>
          <w:rFonts w:ascii="AytoRoquetas Light Condensed" w:hAnsi="AytoRoquetas Light Condensed" w:cs="Frutiger-LightCn"/>
          <w:szCs w:val="20"/>
        </w:rPr>
        <w:t>.</w:t>
      </w:r>
    </w:p>
    <w:p w14:paraId="760DF7B1" w14:textId="428F8FD9" w:rsidR="007F5B9E" w:rsidRDefault="007F5B9E" w:rsidP="007F5B9E">
      <w:pPr>
        <w:spacing w:after="0" w:line="288" w:lineRule="auto"/>
        <w:jc w:val="both"/>
        <w:rPr>
          <w:rFonts w:ascii="AytoRoquetas Light Condensed" w:hAnsi="AytoRoquetas Light Condensed"/>
        </w:rPr>
      </w:pPr>
    </w:p>
    <w:p w14:paraId="188E4336" w14:textId="130C6B4D" w:rsidR="00A43B36" w:rsidRPr="00144DFC" w:rsidRDefault="00A43B36" w:rsidP="00144DFC">
      <w:pPr>
        <w:spacing w:after="0" w:line="240" w:lineRule="auto"/>
        <w:jc w:val="both"/>
        <w:rPr>
          <w:rFonts w:ascii="AytoRoquetas Light Condensed" w:hAnsi="AytoRoquetas Light Condensed" w:cs="AytoRoquetas Light Condensed"/>
          <w:i/>
          <w:iCs/>
          <w:color w:val="000000" w:themeColor="text1"/>
        </w:rPr>
      </w:pPr>
      <w:r w:rsidRPr="001A7F08">
        <w:rPr>
          <w:rFonts w:ascii="AytoRoquetas Light Condensed" w:hAnsi="AytoRoquetas Light Condensed" w:cs="AytoRoquetas Light Condensed"/>
          <w:i/>
          <w:iCs/>
          <w:color w:val="000000" w:themeColor="text1"/>
        </w:rPr>
        <w:t xml:space="preserve">El presente documento ha sido firmado electrónicamente, de acuerdo con lo establecido en la Ley 40/2015, de 1 de octubre, de Régimen Jurídico del Sector Público, por el </w:t>
      </w:r>
      <w:proofErr w:type="gramStart"/>
      <w:r w:rsidRPr="001A7F08">
        <w:rPr>
          <w:rFonts w:ascii="AytoRoquetas Light Condensed" w:hAnsi="AytoRoquetas Light Condensed" w:cs="AytoRoquetas Light Condensed"/>
          <w:i/>
          <w:iCs/>
          <w:color w:val="000000" w:themeColor="text1"/>
        </w:rPr>
        <w:t>Presidente</w:t>
      </w:r>
      <w:proofErr w:type="gramEnd"/>
      <w:r w:rsidRPr="001A7F08">
        <w:rPr>
          <w:rFonts w:ascii="AytoRoquetas Light Condensed" w:hAnsi="AytoRoquetas Light Condensed" w:cs="AytoRoquetas Light Condensed"/>
          <w:i/>
          <w:iCs/>
          <w:color w:val="000000" w:themeColor="text1"/>
        </w:rPr>
        <w:t xml:space="preserve"> del CCIAP en la fecha que se indica al margen del mismo, cuya autenticidad e integridad puede verificarse a través de código seguro que se inserta.</w:t>
      </w:r>
    </w:p>
    <w:sectPr w:rsidR="00A43B36" w:rsidRPr="00144DFC">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BB3CE" w14:textId="77777777" w:rsidR="00E02427" w:rsidRDefault="00E02427">
      <w:pPr>
        <w:spacing w:after="0" w:line="240" w:lineRule="auto"/>
      </w:pPr>
      <w:r>
        <w:separator/>
      </w:r>
    </w:p>
  </w:endnote>
  <w:endnote w:type="continuationSeparator" w:id="0">
    <w:p w14:paraId="084F0CB8" w14:textId="77777777" w:rsidR="00E02427" w:rsidRDefault="00E02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Frutiger-LightCn">
    <w:altName w:val="Calibri"/>
    <w:panose1 w:val="00000000000000000000"/>
    <w:charset w:val="00"/>
    <w:family w:val="swiss"/>
    <w:notTrueType/>
    <w:pitch w:val="default"/>
    <w:sig w:usb0="00000003" w:usb1="00000000" w:usb2="00000000" w:usb3="00000000" w:csb0="00000001" w:csb1="00000000"/>
  </w:font>
  <w:font w:name="Frutiger-LightCn,Bol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682D"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6E0B" w14:textId="77777777" w:rsidR="00E02427" w:rsidRDefault="00E02427">
      <w:pPr>
        <w:spacing w:after="0" w:line="240" w:lineRule="auto"/>
      </w:pPr>
      <w:r>
        <w:separator/>
      </w:r>
    </w:p>
  </w:footnote>
  <w:footnote w:type="continuationSeparator" w:id="0">
    <w:p w14:paraId="11E4E4D2" w14:textId="77777777" w:rsidR="00E02427" w:rsidRDefault="00E02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2107" w14:textId="135B5032" w:rsidR="005D7CEB" w:rsidRDefault="00FA731B">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58240" behindDoc="0" locked="0" layoutInCell="1" allowOverlap="1" wp14:anchorId="748D563F" wp14:editId="1646B4E4">
          <wp:simplePos x="0" y="0"/>
          <wp:positionH relativeFrom="column">
            <wp:posOffset>3953510</wp:posOffset>
          </wp:positionH>
          <wp:positionV relativeFrom="paragraph">
            <wp:posOffset>-77058</wp:posOffset>
          </wp:positionV>
          <wp:extent cx="1914525" cy="781050"/>
          <wp:effectExtent l="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CBA">
      <w:rPr>
        <w:noProof/>
      </w:rPr>
      <mc:AlternateContent>
        <mc:Choice Requires="wps">
          <w:drawing>
            <wp:anchor distT="0" distB="0" distL="0" distR="0" simplePos="0" relativeHeight="251657216" behindDoc="0" locked="0" layoutInCell="1" allowOverlap="1" wp14:anchorId="06EC83C2" wp14:editId="3A875324">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6BD20" w14:textId="77777777" w:rsidR="005D7CEB" w:rsidRDefault="005D7CEB">
                          <w:pPr>
                            <w:spacing w:after="0" w:line="240" w:lineRule="atLeast"/>
                            <w:rPr>
                              <w:color w:val="1D8FC7"/>
                              <w:sz w:val="16"/>
                              <w:szCs w:val="16"/>
                            </w:rPr>
                          </w:pPr>
                          <w:r>
                            <w:rPr>
                              <w:color w:val="1D8FC7"/>
                              <w:sz w:val="16"/>
                              <w:szCs w:val="16"/>
                            </w:rPr>
                            <w:t>Plaza de la Constitución, 1</w:t>
                          </w:r>
                        </w:p>
                        <w:p w14:paraId="6E324505" w14:textId="77777777" w:rsidR="005D7CEB" w:rsidRDefault="005D7CEB">
                          <w:pPr>
                            <w:spacing w:after="0" w:line="240" w:lineRule="atLeast"/>
                            <w:rPr>
                              <w:color w:val="1D8FC7"/>
                              <w:sz w:val="16"/>
                              <w:szCs w:val="16"/>
                            </w:rPr>
                          </w:pPr>
                          <w:r>
                            <w:rPr>
                              <w:color w:val="1D8FC7"/>
                              <w:sz w:val="16"/>
                              <w:szCs w:val="16"/>
                            </w:rPr>
                            <w:t>04740 Roquetas de Mar, Almería</w:t>
                          </w:r>
                        </w:p>
                        <w:p w14:paraId="198ECD33" w14:textId="77777777" w:rsidR="005D7CEB" w:rsidRDefault="005D7CEB">
                          <w:pPr>
                            <w:spacing w:after="0" w:line="240" w:lineRule="atLeast"/>
                            <w:rPr>
                              <w:color w:val="1D8FC7"/>
                              <w:sz w:val="16"/>
                              <w:szCs w:val="16"/>
                            </w:rPr>
                          </w:pPr>
                          <w:r>
                            <w:rPr>
                              <w:color w:val="1D8FC7"/>
                              <w:sz w:val="16"/>
                              <w:szCs w:val="16"/>
                            </w:rPr>
                            <w:t>Tels.: 950 33 85 85 – 950 33 86 19</w:t>
                          </w:r>
                        </w:p>
                        <w:p w14:paraId="1662E516"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C83C2"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4926BD20" w14:textId="77777777" w:rsidR="005D7CEB" w:rsidRDefault="005D7CEB">
                    <w:pPr>
                      <w:spacing w:after="0" w:line="240" w:lineRule="atLeast"/>
                      <w:rPr>
                        <w:color w:val="1D8FC7"/>
                        <w:sz w:val="16"/>
                        <w:szCs w:val="16"/>
                      </w:rPr>
                    </w:pPr>
                    <w:r>
                      <w:rPr>
                        <w:color w:val="1D8FC7"/>
                        <w:sz w:val="16"/>
                        <w:szCs w:val="16"/>
                      </w:rPr>
                      <w:t>Plaza de la Constitución, 1</w:t>
                    </w:r>
                  </w:p>
                  <w:p w14:paraId="6E324505" w14:textId="77777777" w:rsidR="005D7CEB" w:rsidRDefault="005D7CEB">
                    <w:pPr>
                      <w:spacing w:after="0" w:line="240" w:lineRule="atLeast"/>
                      <w:rPr>
                        <w:color w:val="1D8FC7"/>
                        <w:sz w:val="16"/>
                        <w:szCs w:val="16"/>
                      </w:rPr>
                    </w:pPr>
                    <w:r>
                      <w:rPr>
                        <w:color w:val="1D8FC7"/>
                        <w:sz w:val="16"/>
                        <w:szCs w:val="16"/>
                      </w:rPr>
                      <w:t>04740 Roquetas de Mar, Almería</w:t>
                    </w:r>
                  </w:p>
                  <w:p w14:paraId="198ECD33" w14:textId="77777777" w:rsidR="005D7CEB" w:rsidRDefault="005D7CEB">
                    <w:pPr>
                      <w:spacing w:after="0" w:line="240" w:lineRule="atLeast"/>
                      <w:rPr>
                        <w:color w:val="1D8FC7"/>
                        <w:sz w:val="16"/>
                        <w:szCs w:val="16"/>
                      </w:rPr>
                    </w:pPr>
                    <w:r>
                      <w:rPr>
                        <w:color w:val="1D8FC7"/>
                        <w:sz w:val="16"/>
                        <w:szCs w:val="16"/>
                      </w:rPr>
                      <w:t>Tels.: 950 33 85 85 – 950 33 86 19</w:t>
                    </w:r>
                  </w:p>
                  <w:p w14:paraId="1662E516"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4BAFE9FA" w14:textId="39808AD8" w:rsidR="005D7CEB" w:rsidRDefault="005D7CEB">
    <w:pPr>
      <w:pStyle w:val="Encabezado22"/>
      <w:tabs>
        <w:tab w:val="right" w:pos="8391"/>
      </w:tabs>
      <w:spacing w:after="0" w:line="240" w:lineRule="atLeast"/>
      <w:jc w:val="right"/>
      <w:rPr>
        <w:rFonts w:ascii="Times New Roman" w:hAnsi="Times New Roman" w:cs="Times New Roman"/>
        <w:sz w:val="16"/>
        <w:szCs w:val="16"/>
      </w:rPr>
    </w:pPr>
  </w:p>
  <w:p w14:paraId="36AFECE5" w14:textId="77777777" w:rsidR="005D7CEB" w:rsidRDefault="005D7CEB">
    <w:pPr>
      <w:pStyle w:val="Encabezado28"/>
      <w:rPr>
        <w:rFonts w:ascii="AytoRoquetas Light Condensed" w:hAnsi="AytoRoquetas Light Condensed" w:cs="AytoRoquetas Light Condensed"/>
      </w:rPr>
    </w:pPr>
  </w:p>
  <w:p w14:paraId="161FD533"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D784B"/>
    <w:multiLevelType w:val="hybridMultilevel"/>
    <w:tmpl w:val="FD4C16E8"/>
    <w:lvl w:ilvl="0" w:tplc="3648E63A">
      <w:start w:val="1"/>
      <w:numFmt w:val="lowerLetter"/>
      <w:lvlText w:val="%1)"/>
      <w:lvlJc w:val="left"/>
      <w:pPr>
        <w:ind w:left="6314" w:hanging="360"/>
      </w:pPr>
      <w:rPr>
        <w:rFonts w:hint="default"/>
      </w:rPr>
    </w:lvl>
    <w:lvl w:ilvl="1" w:tplc="0C0A0019" w:tentative="1">
      <w:start w:val="1"/>
      <w:numFmt w:val="lowerLetter"/>
      <w:lvlText w:val="%2."/>
      <w:lvlJc w:val="left"/>
      <w:pPr>
        <w:ind w:left="7034" w:hanging="360"/>
      </w:pPr>
    </w:lvl>
    <w:lvl w:ilvl="2" w:tplc="0C0A001B" w:tentative="1">
      <w:start w:val="1"/>
      <w:numFmt w:val="lowerRoman"/>
      <w:lvlText w:val="%3."/>
      <w:lvlJc w:val="right"/>
      <w:pPr>
        <w:ind w:left="7754" w:hanging="180"/>
      </w:pPr>
    </w:lvl>
    <w:lvl w:ilvl="3" w:tplc="0C0A000F" w:tentative="1">
      <w:start w:val="1"/>
      <w:numFmt w:val="decimal"/>
      <w:lvlText w:val="%4."/>
      <w:lvlJc w:val="left"/>
      <w:pPr>
        <w:ind w:left="8474" w:hanging="360"/>
      </w:pPr>
    </w:lvl>
    <w:lvl w:ilvl="4" w:tplc="0C0A0019" w:tentative="1">
      <w:start w:val="1"/>
      <w:numFmt w:val="lowerLetter"/>
      <w:lvlText w:val="%5."/>
      <w:lvlJc w:val="left"/>
      <w:pPr>
        <w:ind w:left="9194" w:hanging="360"/>
      </w:pPr>
    </w:lvl>
    <w:lvl w:ilvl="5" w:tplc="0C0A001B" w:tentative="1">
      <w:start w:val="1"/>
      <w:numFmt w:val="lowerRoman"/>
      <w:lvlText w:val="%6."/>
      <w:lvlJc w:val="right"/>
      <w:pPr>
        <w:ind w:left="9914" w:hanging="180"/>
      </w:pPr>
    </w:lvl>
    <w:lvl w:ilvl="6" w:tplc="0C0A000F" w:tentative="1">
      <w:start w:val="1"/>
      <w:numFmt w:val="decimal"/>
      <w:lvlText w:val="%7."/>
      <w:lvlJc w:val="left"/>
      <w:pPr>
        <w:ind w:left="10634" w:hanging="360"/>
      </w:pPr>
    </w:lvl>
    <w:lvl w:ilvl="7" w:tplc="0C0A0019" w:tentative="1">
      <w:start w:val="1"/>
      <w:numFmt w:val="lowerLetter"/>
      <w:lvlText w:val="%8."/>
      <w:lvlJc w:val="left"/>
      <w:pPr>
        <w:ind w:left="11354" w:hanging="360"/>
      </w:pPr>
    </w:lvl>
    <w:lvl w:ilvl="8" w:tplc="0C0A001B" w:tentative="1">
      <w:start w:val="1"/>
      <w:numFmt w:val="lowerRoman"/>
      <w:lvlText w:val="%9."/>
      <w:lvlJc w:val="right"/>
      <w:pPr>
        <w:ind w:left="12074" w:hanging="180"/>
      </w:pPr>
    </w:lvl>
  </w:abstractNum>
  <w:abstractNum w:abstractNumId="1"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01462132">
    <w:abstractNumId w:val="0"/>
  </w:num>
  <w:num w:numId="2" w16cid:durableId="1839006050">
    <w:abstractNumId w:val="1"/>
  </w:num>
  <w:num w:numId="3" w16cid:durableId="1238787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44DFC"/>
    <w:rsid w:val="00170E73"/>
    <w:rsid w:val="001A725E"/>
    <w:rsid w:val="0021394F"/>
    <w:rsid w:val="004E7425"/>
    <w:rsid w:val="00586C33"/>
    <w:rsid w:val="005D7CEB"/>
    <w:rsid w:val="007F5B9E"/>
    <w:rsid w:val="00832717"/>
    <w:rsid w:val="00851136"/>
    <w:rsid w:val="008743DE"/>
    <w:rsid w:val="008761D5"/>
    <w:rsid w:val="0097678B"/>
    <w:rsid w:val="00A43B36"/>
    <w:rsid w:val="00BF0BD7"/>
    <w:rsid w:val="00C27C1D"/>
    <w:rsid w:val="00DC44F6"/>
    <w:rsid w:val="00DD6B08"/>
    <w:rsid w:val="00E02427"/>
    <w:rsid w:val="00E03B8A"/>
    <w:rsid w:val="00F555E5"/>
    <w:rsid w:val="00FA73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1CAE46"/>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Prrafodelista">
    <w:name w:val="List Paragraph"/>
    <w:basedOn w:val="Normal"/>
    <w:uiPriority w:val="34"/>
    <w:qFormat/>
    <w:rsid w:val="007F5B9E"/>
    <w:pPr>
      <w:autoSpaceDE/>
      <w:autoSpaceDN/>
      <w:adjustRightInd/>
      <w:spacing w:after="0" w:line="240" w:lineRule="auto"/>
      <w:ind w:left="720"/>
      <w:contextualSpacing/>
    </w:pPr>
    <w:rPr>
      <w:rFonts w:ascii="Times New Roman" w:eastAsia="Times New Roman" w:hAnsi="Times New Roman" w:cs="Times New Roman"/>
      <w:sz w:val="24"/>
      <w:szCs w:val="24"/>
    </w:rPr>
  </w:style>
  <w:style w:type="paragraph" w:styleId="Textoindependiente3">
    <w:name w:val="Body Text 3"/>
    <w:basedOn w:val="Normal"/>
    <w:link w:val="Textoindependiente3Car"/>
    <w:uiPriority w:val="99"/>
    <w:semiHidden/>
    <w:unhideWhenUsed/>
    <w:rsid w:val="007F5B9E"/>
    <w:pPr>
      <w:autoSpaceDE/>
      <w:autoSpaceDN/>
      <w:adjustRightInd/>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semiHidden/>
    <w:rsid w:val="007F5B9E"/>
    <w:rPr>
      <w:rFonts w:ascii="Times New Roman" w:eastAsia="Times New Roman" w:hAnsi="Times New Roman"/>
      <w:sz w:val="16"/>
      <w:szCs w:val="16"/>
    </w:rPr>
  </w:style>
  <w:style w:type="paragraph" w:styleId="Textodebloque">
    <w:name w:val="Block Text"/>
    <w:basedOn w:val="Normal"/>
    <w:semiHidden/>
    <w:rsid w:val="007F5B9E"/>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autoSpaceDE/>
      <w:autoSpaceDN/>
      <w:adjustRightInd/>
      <w:spacing w:after="120" w:line="240" w:lineRule="atLeast"/>
      <w:ind w:left="423" w:right="872" w:firstLine="995"/>
      <w:jc w:val="both"/>
    </w:pPr>
    <w:rPr>
      <w:rFonts w:ascii="Arial" w:eastAsia="Times New Roman" w:hAnsi="Arial" w:cs="Arial"/>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1809</Words>
  <Characters>9955</Characters>
  <Application>Microsoft Office Word</Application>
  <DocSecurity>0</DocSecurity>
  <Lines>82</Lines>
  <Paragraphs>23</Paragraphs>
  <ScaleCrop>false</ScaleCrop>
  <Company/>
  <LinksUpToDate>false</LinksUpToDate>
  <CharactersWithSpaces>11741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12</cp:revision>
  <dcterms:created xsi:type="dcterms:W3CDTF">2023-02-21T11:53:00Z</dcterms:created>
  <dcterms:modified xsi:type="dcterms:W3CDTF">2023-02-21T12:08:00Z</dcterms:modified>
</cp:coreProperties>
</file>