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E706A1">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E706A1">
      <w:pPr>
        <w:pStyle w:val="Default"/>
        <w:spacing w:line="288" w:lineRule="auto"/>
        <w:contextualSpacing/>
        <w:jc w:val="both"/>
        <w:rPr>
          <w:sz w:val="22"/>
          <w:szCs w:val="22"/>
        </w:rPr>
      </w:pPr>
    </w:p>
    <w:p w14:paraId="5F8319C3" w14:textId="322D0466" w:rsidR="00BF57D9" w:rsidRPr="00BF57D9" w:rsidRDefault="00BF57D9" w:rsidP="00E706A1">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E706A1">
      <w:pPr>
        <w:pStyle w:val="Default"/>
        <w:spacing w:line="288" w:lineRule="auto"/>
        <w:contextualSpacing/>
        <w:jc w:val="both"/>
        <w:rPr>
          <w:sz w:val="22"/>
          <w:szCs w:val="26"/>
        </w:rPr>
      </w:pPr>
    </w:p>
    <w:p w14:paraId="6DF2FB0E" w14:textId="77777777" w:rsidR="0092736D" w:rsidRPr="00C23BC9" w:rsidRDefault="0092736D" w:rsidP="00E706A1">
      <w:pPr>
        <w:spacing w:line="288" w:lineRule="auto"/>
        <w:contextualSpacing/>
        <w:jc w:val="both"/>
        <w:rPr>
          <w:rFonts w:ascii="AytoRoquetas Light Condensed" w:hAnsi="AytoRoquetas Light Condensed" w:cs="Arial-BoldMT"/>
          <w:b/>
          <w:bCs/>
          <w:sz w:val="26"/>
          <w:szCs w:val="26"/>
        </w:rPr>
      </w:pPr>
      <w:r w:rsidRPr="00C23BC9">
        <w:rPr>
          <w:rFonts w:ascii="AytoRoquetas Light Condensed" w:hAnsi="AytoRoquetas Light Condensed" w:cs="Arial-BoldMT"/>
          <w:b/>
          <w:bCs/>
          <w:sz w:val="26"/>
          <w:szCs w:val="26"/>
        </w:rPr>
        <w:t>3.- DACIÓN DE CUENTAS de la Liquidación del Presupuesto de ejercicio 2022.</w:t>
      </w:r>
    </w:p>
    <w:p w14:paraId="1D964358" w14:textId="77777777" w:rsidR="0092736D" w:rsidRPr="006E4E79" w:rsidRDefault="0092736D" w:rsidP="00E706A1">
      <w:pPr>
        <w:spacing w:line="288" w:lineRule="auto"/>
        <w:contextualSpacing/>
        <w:jc w:val="both"/>
        <w:rPr>
          <w:rFonts w:ascii="AytoRoquetas Light Condensed" w:hAnsi="AytoRoquetas Light Condensed" w:cs="ArialMT"/>
        </w:rPr>
      </w:pPr>
    </w:p>
    <w:p w14:paraId="28A2592B" w14:textId="77777777" w:rsidR="0092736D" w:rsidRPr="006E4E79" w:rsidRDefault="0092736D" w:rsidP="00E706A1">
      <w:pPr>
        <w:spacing w:line="288" w:lineRule="auto"/>
        <w:contextualSpacing/>
        <w:jc w:val="both"/>
        <w:rPr>
          <w:rFonts w:ascii="AytoRoquetas Light Condensed" w:hAnsi="AytoRoquetas Light Condensed"/>
        </w:rPr>
      </w:pPr>
      <w:r w:rsidRPr="006E4E79">
        <w:rPr>
          <w:rFonts w:ascii="AytoRoquetas Light Condensed" w:hAnsi="AytoRoquetas Light Condensed"/>
        </w:rPr>
        <w:tab/>
        <w:t xml:space="preserve">Por el Sr. </w:t>
      </w:r>
      <w:proofErr w:type="gramStart"/>
      <w:r w:rsidRPr="006E4E79">
        <w:rPr>
          <w:rFonts w:ascii="AytoRoquetas Light Condensed" w:hAnsi="AytoRoquetas Light Condensed"/>
        </w:rPr>
        <w:t>Presidente</w:t>
      </w:r>
      <w:proofErr w:type="gramEnd"/>
      <w:r w:rsidRPr="006E4E79">
        <w:rPr>
          <w:rFonts w:ascii="AytoRoquetas Light Condensed" w:hAnsi="AytoRoquetas Light Condensed"/>
        </w:rPr>
        <w:t xml:space="preserve"> del CCIAP se da cuenta a la Junta General del decreto de 10 de febrero de 2023, inscrito en el Libro de Decretos y Resoluciones con el número 2023/8, por la que se aprueba la liquidación del Presupuesto del ejercicio 2022, que es del siguiente tenor literal:</w:t>
      </w:r>
    </w:p>
    <w:p w14:paraId="7743840F" w14:textId="77777777" w:rsidR="0092736D" w:rsidRPr="006E4E79" w:rsidRDefault="0092736D" w:rsidP="00E706A1">
      <w:pPr>
        <w:spacing w:line="288" w:lineRule="auto"/>
        <w:contextualSpacing/>
        <w:jc w:val="both"/>
        <w:rPr>
          <w:rFonts w:ascii="AytoRoquetas Light Condensed" w:hAnsi="AytoRoquetas Light Condensed" w:cs="ArialMT"/>
        </w:rPr>
      </w:pPr>
    </w:p>
    <w:p w14:paraId="742E318D"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“D. GABRIEL AMAT AYLLON, PRESIDENTE DEL CONSORCIO DE SERVICIOS INTEGRADOS DE ABASTECIMIENTO DE AGUAS Y SANEAMIENTO DEL PONIENTE (ALMERIA), en relación a la Liquidación del Presupuesto correspondiente al ejercicio 2022 ha dictado el siguiente</w:t>
      </w:r>
      <w:r>
        <w:rPr>
          <w:rFonts w:ascii="AytoRoquetas Light Condensed" w:hAnsi="AytoRoquetas Light Condensed"/>
          <w:bCs/>
          <w:i/>
          <w:iCs/>
        </w:rPr>
        <w:t xml:space="preserve"> </w:t>
      </w:r>
      <w:r w:rsidRPr="006E4E79">
        <w:rPr>
          <w:rFonts w:ascii="AytoRoquetas Light Condensed" w:hAnsi="AytoRoquetas Light Condensed"/>
          <w:bCs/>
          <w:i/>
          <w:iCs/>
          <w:u w:val="single"/>
        </w:rPr>
        <w:t>DECRETO</w:t>
      </w:r>
      <w:r w:rsidRPr="006E4E79">
        <w:rPr>
          <w:rFonts w:ascii="AytoRoquetas Light Condensed" w:hAnsi="AytoRoquetas Light Condensed"/>
          <w:bCs/>
          <w:i/>
          <w:iCs/>
        </w:rPr>
        <w:t>:</w:t>
      </w:r>
    </w:p>
    <w:p w14:paraId="2B2FE30A" w14:textId="77777777" w:rsidR="0092736D" w:rsidRPr="006E4E79" w:rsidRDefault="0092736D" w:rsidP="00E706A1">
      <w:pPr>
        <w:spacing w:line="288" w:lineRule="auto"/>
        <w:contextualSpacing/>
        <w:jc w:val="both"/>
        <w:rPr>
          <w:rFonts w:ascii="AytoRoquetas Light Condensed" w:hAnsi="AytoRoquetas Light Condensed"/>
          <w:bCs/>
          <w:i/>
          <w:iCs/>
        </w:rPr>
      </w:pPr>
    </w:p>
    <w:p w14:paraId="6725B100"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Vista la liquidación que ha sido confeccionada por los servicios económicos correspondiente al ejercicio de 2022, en el plazo del plazo previsto por el artículo 191.3 del RDL 2/2004, de 5 de marzo, por el que se aprueba el TR de la LRHL fijado para el día 1 de marzo.</w:t>
      </w:r>
    </w:p>
    <w:p w14:paraId="2C0439F3" w14:textId="77777777" w:rsidR="0092736D" w:rsidRPr="006E4E79" w:rsidRDefault="0092736D" w:rsidP="00E706A1">
      <w:pPr>
        <w:spacing w:line="288" w:lineRule="auto"/>
        <w:contextualSpacing/>
        <w:jc w:val="both"/>
        <w:rPr>
          <w:rFonts w:ascii="AytoRoquetas Light Condensed" w:hAnsi="AytoRoquetas Light Condensed"/>
          <w:bCs/>
          <w:i/>
          <w:iCs/>
        </w:rPr>
      </w:pPr>
    </w:p>
    <w:p w14:paraId="392FD6CD"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RESULTANDO que en el expediente de liquidación obra informe de INTERVENCIÓN relativo a los documentos y resultado de la liquidación.</w:t>
      </w:r>
    </w:p>
    <w:p w14:paraId="7B5040CC" w14:textId="77777777" w:rsidR="0092736D" w:rsidRPr="006E4E79" w:rsidRDefault="0092736D" w:rsidP="00E706A1">
      <w:pPr>
        <w:spacing w:line="288" w:lineRule="auto"/>
        <w:contextualSpacing/>
        <w:jc w:val="both"/>
        <w:rPr>
          <w:rFonts w:ascii="AytoRoquetas Light Condensed" w:hAnsi="AytoRoquetas Light Condensed"/>
          <w:bCs/>
          <w:i/>
          <w:iCs/>
        </w:rPr>
      </w:pPr>
    </w:p>
    <w:p w14:paraId="50D2D981"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CONSIDERANDO lo dispuesto en el artículo 191 del citado RDL 2/2004, y en ejercicio de las competencias que esta Presidencia ostenta</w:t>
      </w:r>
    </w:p>
    <w:p w14:paraId="43EF0C65" w14:textId="77777777" w:rsidR="0092736D" w:rsidRPr="006E4E79" w:rsidRDefault="0092736D" w:rsidP="00E706A1">
      <w:pPr>
        <w:spacing w:line="288" w:lineRule="auto"/>
        <w:contextualSpacing/>
        <w:jc w:val="both"/>
        <w:rPr>
          <w:rFonts w:ascii="AytoRoquetas Light Condensed" w:hAnsi="AytoRoquetas Light Condensed"/>
          <w:bCs/>
          <w:i/>
          <w:iCs/>
        </w:rPr>
      </w:pPr>
    </w:p>
    <w:p w14:paraId="44BB5310"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HE RESUELTO:</w:t>
      </w:r>
    </w:p>
    <w:p w14:paraId="616E5484" w14:textId="77777777" w:rsidR="0092736D" w:rsidRPr="006E4E79" w:rsidRDefault="0092736D" w:rsidP="00E706A1">
      <w:pPr>
        <w:spacing w:line="288" w:lineRule="auto"/>
        <w:contextualSpacing/>
        <w:jc w:val="both"/>
        <w:rPr>
          <w:rFonts w:ascii="AytoRoquetas Light Condensed" w:hAnsi="AytoRoquetas Light Condensed"/>
          <w:bCs/>
          <w:i/>
          <w:iCs/>
        </w:rPr>
      </w:pPr>
    </w:p>
    <w:p w14:paraId="60AD45A3"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 xml:space="preserve">PRIMERO. - Aprobar la liquidación del presupuesto correspondiente al ejercicio de 2022, cuyo resumen es el siguiente: </w:t>
      </w:r>
    </w:p>
    <w:p w14:paraId="72555774" w14:textId="77777777" w:rsidR="0092736D" w:rsidRPr="006E4E79" w:rsidRDefault="0092736D" w:rsidP="00E706A1">
      <w:pPr>
        <w:spacing w:line="288" w:lineRule="auto"/>
        <w:contextualSpacing/>
        <w:jc w:val="both"/>
        <w:rPr>
          <w:rFonts w:ascii="AytoRoquetas Light Condensed" w:hAnsi="AytoRoquetas Light Condensed"/>
          <w:bCs/>
          <w:i/>
          <w:iCs/>
        </w:rPr>
      </w:pPr>
    </w:p>
    <w:tbl>
      <w:tblPr>
        <w:tblW w:w="5000" w:type="pct"/>
        <w:tblCellMar>
          <w:left w:w="70" w:type="dxa"/>
          <w:right w:w="70" w:type="dxa"/>
        </w:tblCellMar>
        <w:tblLook w:val="04A0" w:firstRow="1" w:lastRow="0" w:firstColumn="1" w:lastColumn="0" w:noHBand="0" w:noVBand="1"/>
      </w:tblPr>
      <w:tblGrid>
        <w:gridCol w:w="3271"/>
        <w:gridCol w:w="389"/>
        <w:gridCol w:w="380"/>
        <w:gridCol w:w="1193"/>
        <w:gridCol w:w="1217"/>
        <w:gridCol w:w="741"/>
        <w:gridCol w:w="1370"/>
      </w:tblGrid>
      <w:tr w:rsidR="0092736D" w:rsidRPr="00DC6628" w14:paraId="4995AF1D" w14:textId="77777777" w:rsidTr="003415A1">
        <w:trPr>
          <w:trHeight w:val="252"/>
        </w:trPr>
        <w:tc>
          <w:tcPr>
            <w:tcW w:w="2359" w:type="pct"/>
            <w:gridSpan w:val="3"/>
            <w:noWrap/>
            <w:vAlign w:val="bottom"/>
            <w:hideMark/>
          </w:tcPr>
          <w:p w14:paraId="4F08E3C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A. RESULTADO PRESUPUESTARIO</w:t>
            </w:r>
          </w:p>
        </w:tc>
        <w:tc>
          <w:tcPr>
            <w:tcW w:w="697" w:type="pct"/>
            <w:noWrap/>
            <w:vAlign w:val="bottom"/>
          </w:tcPr>
          <w:p w14:paraId="2317B6E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noWrap/>
            <w:vAlign w:val="bottom"/>
          </w:tcPr>
          <w:p w14:paraId="5FD021F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noWrap/>
            <w:vAlign w:val="bottom"/>
          </w:tcPr>
          <w:p w14:paraId="4EB4ECF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00" w:type="pct"/>
            <w:noWrap/>
            <w:vAlign w:val="bottom"/>
          </w:tcPr>
          <w:p w14:paraId="0DF34B1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4213BB36" w14:textId="77777777" w:rsidTr="003415A1">
        <w:trPr>
          <w:trHeight w:val="756"/>
        </w:trPr>
        <w:tc>
          <w:tcPr>
            <w:tcW w:w="1910" w:type="pct"/>
            <w:vAlign w:val="bottom"/>
            <w:hideMark/>
          </w:tcPr>
          <w:p w14:paraId="0E6BD6F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lastRenderedPageBreak/>
              <w:t>CONCEPTOS</w:t>
            </w:r>
          </w:p>
        </w:tc>
        <w:tc>
          <w:tcPr>
            <w:tcW w:w="227" w:type="pct"/>
            <w:vAlign w:val="bottom"/>
          </w:tcPr>
          <w:p w14:paraId="5A23472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222" w:type="pct"/>
            <w:vAlign w:val="bottom"/>
          </w:tcPr>
          <w:p w14:paraId="166D998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vAlign w:val="bottom"/>
            <w:hideMark/>
          </w:tcPr>
          <w:p w14:paraId="05A8B62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Derechos Reconocidos netos</w:t>
            </w:r>
          </w:p>
        </w:tc>
        <w:tc>
          <w:tcPr>
            <w:tcW w:w="711" w:type="pct"/>
            <w:vAlign w:val="bottom"/>
            <w:hideMark/>
          </w:tcPr>
          <w:p w14:paraId="345FC5C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Obligaciones Reconocidas netas</w:t>
            </w:r>
          </w:p>
        </w:tc>
        <w:tc>
          <w:tcPr>
            <w:tcW w:w="433" w:type="pct"/>
            <w:vAlign w:val="bottom"/>
            <w:hideMark/>
          </w:tcPr>
          <w:p w14:paraId="593399E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Ajustes</w:t>
            </w:r>
          </w:p>
        </w:tc>
        <w:tc>
          <w:tcPr>
            <w:tcW w:w="800" w:type="pct"/>
            <w:vAlign w:val="bottom"/>
            <w:hideMark/>
          </w:tcPr>
          <w:p w14:paraId="2BA3B2E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Resultado Presupuestario</w:t>
            </w:r>
          </w:p>
        </w:tc>
      </w:tr>
      <w:tr w:rsidR="0092736D" w:rsidRPr="00DC6628" w14:paraId="1D5432EA" w14:textId="77777777" w:rsidTr="003415A1">
        <w:trPr>
          <w:trHeight w:val="252"/>
        </w:trPr>
        <w:tc>
          <w:tcPr>
            <w:tcW w:w="2137" w:type="pct"/>
            <w:gridSpan w:val="2"/>
            <w:noWrap/>
            <w:vAlign w:val="bottom"/>
            <w:hideMark/>
          </w:tcPr>
          <w:p w14:paraId="0A01D84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a. Operaciones corrientes</w:t>
            </w:r>
          </w:p>
        </w:tc>
        <w:tc>
          <w:tcPr>
            <w:tcW w:w="222" w:type="pct"/>
            <w:noWrap/>
            <w:vAlign w:val="bottom"/>
          </w:tcPr>
          <w:p w14:paraId="03D3684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tcBorders>
              <w:top w:val="single" w:sz="4" w:space="0" w:color="auto"/>
              <w:left w:val="single" w:sz="4" w:space="0" w:color="auto"/>
              <w:bottom w:val="single" w:sz="4" w:space="0" w:color="auto"/>
              <w:right w:val="single" w:sz="4" w:space="0" w:color="auto"/>
            </w:tcBorders>
            <w:noWrap/>
            <w:vAlign w:val="bottom"/>
            <w:hideMark/>
          </w:tcPr>
          <w:p w14:paraId="605413A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227.276,63</w:t>
            </w:r>
          </w:p>
        </w:tc>
        <w:tc>
          <w:tcPr>
            <w:tcW w:w="711" w:type="pct"/>
            <w:tcBorders>
              <w:top w:val="single" w:sz="4" w:space="0" w:color="auto"/>
              <w:left w:val="nil"/>
              <w:bottom w:val="single" w:sz="4" w:space="0" w:color="auto"/>
              <w:right w:val="nil"/>
            </w:tcBorders>
            <w:noWrap/>
            <w:vAlign w:val="bottom"/>
            <w:hideMark/>
          </w:tcPr>
          <w:p w14:paraId="1482DFC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229.935,24</w:t>
            </w:r>
          </w:p>
        </w:tc>
        <w:tc>
          <w:tcPr>
            <w:tcW w:w="433" w:type="pct"/>
            <w:tcBorders>
              <w:top w:val="single" w:sz="4" w:space="0" w:color="auto"/>
              <w:left w:val="single" w:sz="4" w:space="0" w:color="auto"/>
              <w:bottom w:val="nil"/>
              <w:right w:val="single" w:sz="4" w:space="0" w:color="auto"/>
            </w:tcBorders>
            <w:noWrap/>
            <w:vAlign w:val="bottom"/>
            <w:hideMark/>
          </w:tcPr>
          <w:p w14:paraId="7BCFEDF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single" w:sz="4" w:space="0" w:color="auto"/>
              <w:left w:val="nil"/>
              <w:bottom w:val="single" w:sz="4" w:space="0" w:color="auto"/>
              <w:right w:val="single" w:sz="4" w:space="0" w:color="auto"/>
            </w:tcBorders>
            <w:noWrap/>
            <w:vAlign w:val="bottom"/>
            <w:hideMark/>
          </w:tcPr>
          <w:p w14:paraId="72EA308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-2.658,51</w:t>
            </w:r>
          </w:p>
        </w:tc>
      </w:tr>
      <w:tr w:rsidR="0092736D" w:rsidRPr="00DC6628" w14:paraId="242EBC40" w14:textId="77777777" w:rsidTr="003415A1">
        <w:trPr>
          <w:trHeight w:val="252"/>
        </w:trPr>
        <w:tc>
          <w:tcPr>
            <w:tcW w:w="2359" w:type="pct"/>
            <w:gridSpan w:val="3"/>
            <w:noWrap/>
            <w:vAlign w:val="bottom"/>
            <w:hideMark/>
          </w:tcPr>
          <w:p w14:paraId="4231F15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b. Operaciones de capital</w:t>
            </w:r>
          </w:p>
        </w:tc>
        <w:tc>
          <w:tcPr>
            <w:tcW w:w="697" w:type="pct"/>
            <w:tcBorders>
              <w:top w:val="nil"/>
              <w:left w:val="single" w:sz="4" w:space="0" w:color="auto"/>
              <w:bottom w:val="single" w:sz="4" w:space="0" w:color="auto"/>
              <w:right w:val="single" w:sz="4" w:space="0" w:color="auto"/>
            </w:tcBorders>
            <w:noWrap/>
            <w:vAlign w:val="bottom"/>
          </w:tcPr>
          <w:p w14:paraId="110417C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6512101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00FFABB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tcPr>
          <w:p w14:paraId="6B6BDDF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2563FAD0" w14:textId="77777777" w:rsidTr="003415A1">
        <w:trPr>
          <w:trHeight w:val="252"/>
        </w:trPr>
        <w:tc>
          <w:tcPr>
            <w:tcW w:w="2359" w:type="pct"/>
            <w:gridSpan w:val="3"/>
            <w:noWrap/>
            <w:vAlign w:val="bottom"/>
            <w:hideMark/>
          </w:tcPr>
          <w:p w14:paraId="2FF8A3C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 Total operaciones no financieras (</w:t>
            </w:r>
            <w:proofErr w:type="spellStart"/>
            <w:r w:rsidRPr="00DC6628">
              <w:rPr>
                <w:rFonts w:ascii="AytoRoquetas Light Condensed" w:hAnsi="AytoRoquetas Light Condensed"/>
                <w:bCs/>
                <w:i/>
                <w:iCs/>
                <w:sz w:val="18"/>
                <w:szCs w:val="18"/>
              </w:rPr>
              <w:t>a+b</w:t>
            </w:r>
            <w:proofErr w:type="spellEnd"/>
            <w:r w:rsidRPr="00DC6628">
              <w:rPr>
                <w:rFonts w:ascii="AytoRoquetas Light Condensed" w:hAnsi="AytoRoquetas Light Condensed"/>
                <w:bCs/>
                <w:i/>
                <w:iCs/>
                <w:sz w:val="18"/>
                <w:szCs w:val="18"/>
              </w:rPr>
              <w:t>)</w:t>
            </w:r>
          </w:p>
        </w:tc>
        <w:tc>
          <w:tcPr>
            <w:tcW w:w="697" w:type="pct"/>
            <w:tcBorders>
              <w:top w:val="nil"/>
              <w:left w:val="single" w:sz="4" w:space="0" w:color="auto"/>
              <w:bottom w:val="single" w:sz="4" w:space="0" w:color="auto"/>
              <w:right w:val="single" w:sz="4" w:space="0" w:color="auto"/>
            </w:tcBorders>
            <w:noWrap/>
            <w:vAlign w:val="bottom"/>
            <w:hideMark/>
          </w:tcPr>
          <w:p w14:paraId="70AF58BD"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227.276,63</w:t>
            </w:r>
          </w:p>
        </w:tc>
        <w:tc>
          <w:tcPr>
            <w:tcW w:w="711" w:type="pct"/>
            <w:tcBorders>
              <w:top w:val="nil"/>
              <w:left w:val="nil"/>
              <w:bottom w:val="single" w:sz="4" w:space="0" w:color="auto"/>
              <w:right w:val="nil"/>
            </w:tcBorders>
            <w:noWrap/>
            <w:vAlign w:val="bottom"/>
            <w:hideMark/>
          </w:tcPr>
          <w:p w14:paraId="11EC2FE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229.935,24</w:t>
            </w:r>
          </w:p>
        </w:tc>
        <w:tc>
          <w:tcPr>
            <w:tcW w:w="433" w:type="pct"/>
            <w:tcBorders>
              <w:top w:val="nil"/>
              <w:left w:val="single" w:sz="4" w:space="0" w:color="auto"/>
              <w:bottom w:val="nil"/>
              <w:right w:val="single" w:sz="4" w:space="0" w:color="auto"/>
            </w:tcBorders>
            <w:noWrap/>
            <w:vAlign w:val="bottom"/>
            <w:hideMark/>
          </w:tcPr>
          <w:p w14:paraId="2CF6009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hideMark/>
          </w:tcPr>
          <w:p w14:paraId="7481749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-2.658,51</w:t>
            </w:r>
          </w:p>
        </w:tc>
      </w:tr>
      <w:tr w:rsidR="0092736D" w:rsidRPr="00DC6628" w14:paraId="6E913470" w14:textId="77777777" w:rsidTr="003415A1">
        <w:trPr>
          <w:trHeight w:val="252"/>
        </w:trPr>
        <w:tc>
          <w:tcPr>
            <w:tcW w:w="2137" w:type="pct"/>
            <w:gridSpan w:val="2"/>
            <w:noWrap/>
            <w:vAlign w:val="bottom"/>
            <w:hideMark/>
          </w:tcPr>
          <w:p w14:paraId="0799CB9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c). Activos financieros</w:t>
            </w:r>
          </w:p>
        </w:tc>
        <w:tc>
          <w:tcPr>
            <w:tcW w:w="222" w:type="pct"/>
            <w:noWrap/>
            <w:vAlign w:val="bottom"/>
          </w:tcPr>
          <w:p w14:paraId="3223308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tcBorders>
              <w:top w:val="nil"/>
              <w:left w:val="single" w:sz="4" w:space="0" w:color="auto"/>
              <w:bottom w:val="single" w:sz="4" w:space="0" w:color="auto"/>
              <w:right w:val="single" w:sz="4" w:space="0" w:color="auto"/>
            </w:tcBorders>
            <w:noWrap/>
            <w:vAlign w:val="bottom"/>
          </w:tcPr>
          <w:p w14:paraId="0B095D0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0142689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6BB2AE7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tcPr>
          <w:p w14:paraId="40DCB82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4E500282" w14:textId="77777777" w:rsidTr="003415A1">
        <w:trPr>
          <w:trHeight w:val="252"/>
        </w:trPr>
        <w:tc>
          <w:tcPr>
            <w:tcW w:w="2137" w:type="pct"/>
            <w:gridSpan w:val="2"/>
            <w:noWrap/>
            <w:vAlign w:val="bottom"/>
            <w:hideMark/>
          </w:tcPr>
          <w:p w14:paraId="5395941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d). Pasivos financieros</w:t>
            </w:r>
          </w:p>
          <w:p w14:paraId="2C5F034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 Total operaciones financieras (</w:t>
            </w:r>
            <w:proofErr w:type="spellStart"/>
            <w:r w:rsidRPr="00DC6628">
              <w:rPr>
                <w:rFonts w:ascii="AytoRoquetas Light Condensed" w:hAnsi="AytoRoquetas Light Condensed"/>
                <w:bCs/>
                <w:i/>
                <w:iCs/>
                <w:sz w:val="18"/>
                <w:szCs w:val="18"/>
              </w:rPr>
              <w:t>c+d</w:t>
            </w:r>
            <w:proofErr w:type="spellEnd"/>
            <w:r w:rsidRPr="00DC6628">
              <w:rPr>
                <w:rFonts w:ascii="AytoRoquetas Light Condensed" w:hAnsi="AytoRoquetas Light Condensed"/>
                <w:bCs/>
                <w:i/>
                <w:iCs/>
                <w:sz w:val="18"/>
                <w:szCs w:val="18"/>
              </w:rPr>
              <w:t>)</w:t>
            </w:r>
          </w:p>
        </w:tc>
        <w:tc>
          <w:tcPr>
            <w:tcW w:w="222" w:type="pct"/>
            <w:noWrap/>
            <w:vAlign w:val="bottom"/>
          </w:tcPr>
          <w:p w14:paraId="540EB61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tcBorders>
              <w:top w:val="nil"/>
              <w:left w:val="single" w:sz="4" w:space="0" w:color="auto"/>
              <w:bottom w:val="single" w:sz="4" w:space="0" w:color="auto"/>
              <w:right w:val="single" w:sz="4" w:space="0" w:color="auto"/>
            </w:tcBorders>
            <w:noWrap/>
            <w:vAlign w:val="bottom"/>
          </w:tcPr>
          <w:p w14:paraId="536C08F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tcBorders>
              <w:top w:val="nil"/>
              <w:left w:val="nil"/>
              <w:bottom w:val="single" w:sz="4" w:space="0" w:color="auto"/>
              <w:right w:val="nil"/>
            </w:tcBorders>
            <w:noWrap/>
            <w:vAlign w:val="bottom"/>
          </w:tcPr>
          <w:p w14:paraId="729FB9B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74A3F20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tcPr>
          <w:p w14:paraId="5089B77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4FAFC2A7" w14:textId="77777777" w:rsidTr="003415A1">
        <w:trPr>
          <w:trHeight w:val="252"/>
        </w:trPr>
        <w:tc>
          <w:tcPr>
            <w:tcW w:w="2359" w:type="pct"/>
            <w:gridSpan w:val="3"/>
            <w:noWrap/>
            <w:vAlign w:val="bottom"/>
            <w:hideMark/>
          </w:tcPr>
          <w:p w14:paraId="6E7D0A7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RESULTADO PRESUPUESTARIO DEL EJERCICIO</w:t>
            </w:r>
          </w:p>
        </w:tc>
        <w:tc>
          <w:tcPr>
            <w:tcW w:w="697" w:type="pct"/>
            <w:tcBorders>
              <w:top w:val="nil"/>
              <w:left w:val="single" w:sz="4" w:space="0" w:color="auto"/>
              <w:bottom w:val="single" w:sz="4" w:space="0" w:color="auto"/>
              <w:right w:val="single" w:sz="4" w:space="0" w:color="auto"/>
            </w:tcBorders>
            <w:noWrap/>
            <w:vAlign w:val="bottom"/>
            <w:hideMark/>
          </w:tcPr>
          <w:p w14:paraId="4E0878B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227.276,63</w:t>
            </w:r>
          </w:p>
        </w:tc>
        <w:tc>
          <w:tcPr>
            <w:tcW w:w="711" w:type="pct"/>
            <w:tcBorders>
              <w:top w:val="nil"/>
              <w:left w:val="nil"/>
              <w:bottom w:val="single" w:sz="4" w:space="0" w:color="auto"/>
              <w:right w:val="nil"/>
            </w:tcBorders>
            <w:noWrap/>
            <w:vAlign w:val="bottom"/>
            <w:hideMark/>
          </w:tcPr>
          <w:p w14:paraId="360CB2F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229.935,24</w:t>
            </w:r>
          </w:p>
        </w:tc>
        <w:tc>
          <w:tcPr>
            <w:tcW w:w="433" w:type="pct"/>
            <w:tcBorders>
              <w:top w:val="nil"/>
              <w:left w:val="single" w:sz="4" w:space="0" w:color="auto"/>
              <w:bottom w:val="nil"/>
              <w:right w:val="single" w:sz="4" w:space="0" w:color="auto"/>
            </w:tcBorders>
            <w:noWrap/>
            <w:vAlign w:val="bottom"/>
            <w:hideMark/>
          </w:tcPr>
          <w:p w14:paraId="203A927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hideMark/>
          </w:tcPr>
          <w:p w14:paraId="02108AF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-2.658,51</w:t>
            </w:r>
          </w:p>
        </w:tc>
      </w:tr>
      <w:tr w:rsidR="0092736D" w:rsidRPr="00DC6628" w14:paraId="5148A53B" w14:textId="77777777" w:rsidTr="003415A1">
        <w:trPr>
          <w:trHeight w:val="252"/>
        </w:trPr>
        <w:tc>
          <w:tcPr>
            <w:tcW w:w="1910" w:type="pct"/>
            <w:noWrap/>
            <w:vAlign w:val="bottom"/>
          </w:tcPr>
          <w:p w14:paraId="24CB5ED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227" w:type="pct"/>
            <w:noWrap/>
            <w:vAlign w:val="bottom"/>
          </w:tcPr>
          <w:p w14:paraId="2902CE6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222" w:type="pct"/>
            <w:noWrap/>
            <w:vAlign w:val="bottom"/>
          </w:tcPr>
          <w:p w14:paraId="6BB50CE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noWrap/>
            <w:vAlign w:val="bottom"/>
          </w:tcPr>
          <w:p w14:paraId="1BBCB85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noWrap/>
            <w:vAlign w:val="bottom"/>
          </w:tcPr>
          <w:p w14:paraId="31F87A8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nil"/>
              <w:right w:val="single" w:sz="4" w:space="0" w:color="auto"/>
            </w:tcBorders>
            <w:noWrap/>
            <w:vAlign w:val="bottom"/>
            <w:hideMark/>
          </w:tcPr>
          <w:p w14:paraId="2482861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noWrap/>
            <w:vAlign w:val="bottom"/>
          </w:tcPr>
          <w:p w14:paraId="3E5EAE1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3E5EAC26" w14:textId="77777777" w:rsidTr="003415A1">
        <w:trPr>
          <w:trHeight w:val="252"/>
        </w:trPr>
        <w:tc>
          <w:tcPr>
            <w:tcW w:w="1910" w:type="pct"/>
            <w:noWrap/>
            <w:vAlign w:val="bottom"/>
            <w:hideMark/>
          </w:tcPr>
          <w:p w14:paraId="6AF7A73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AJUSTES</w:t>
            </w:r>
          </w:p>
        </w:tc>
        <w:tc>
          <w:tcPr>
            <w:tcW w:w="227" w:type="pct"/>
            <w:noWrap/>
            <w:vAlign w:val="bottom"/>
          </w:tcPr>
          <w:p w14:paraId="39D6E09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222" w:type="pct"/>
            <w:noWrap/>
            <w:vAlign w:val="bottom"/>
          </w:tcPr>
          <w:p w14:paraId="0371F09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97" w:type="pct"/>
            <w:noWrap/>
            <w:vAlign w:val="bottom"/>
          </w:tcPr>
          <w:p w14:paraId="4528C45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noWrap/>
            <w:vAlign w:val="bottom"/>
          </w:tcPr>
          <w:p w14:paraId="48017A3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7BB9D7A2"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00" w:type="pct"/>
            <w:noWrap/>
            <w:vAlign w:val="bottom"/>
          </w:tcPr>
          <w:p w14:paraId="23924B4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0C9867C8" w14:textId="77777777" w:rsidTr="003415A1">
        <w:trPr>
          <w:trHeight w:val="252"/>
        </w:trPr>
        <w:tc>
          <w:tcPr>
            <w:tcW w:w="3767" w:type="pct"/>
            <w:gridSpan w:val="5"/>
            <w:noWrap/>
            <w:vAlign w:val="bottom"/>
            <w:hideMark/>
          </w:tcPr>
          <w:p w14:paraId="50FF00F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3. Créditos gastados financiados con remanente de tesorería para gastos generales</w:t>
            </w:r>
          </w:p>
        </w:tc>
        <w:tc>
          <w:tcPr>
            <w:tcW w:w="433" w:type="pct"/>
            <w:tcBorders>
              <w:top w:val="nil"/>
              <w:left w:val="single" w:sz="4" w:space="0" w:color="auto"/>
              <w:bottom w:val="single" w:sz="4" w:space="0" w:color="auto"/>
              <w:right w:val="single" w:sz="4" w:space="0" w:color="auto"/>
            </w:tcBorders>
            <w:noWrap/>
            <w:vAlign w:val="bottom"/>
          </w:tcPr>
          <w:p w14:paraId="61D5421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00" w:type="pct"/>
            <w:tcBorders>
              <w:top w:val="single" w:sz="4" w:space="0" w:color="auto"/>
              <w:left w:val="nil"/>
              <w:bottom w:val="single" w:sz="4" w:space="0" w:color="auto"/>
              <w:right w:val="single" w:sz="4" w:space="0" w:color="auto"/>
            </w:tcBorders>
            <w:noWrap/>
            <w:vAlign w:val="bottom"/>
          </w:tcPr>
          <w:p w14:paraId="4D568E2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37F2E743" w14:textId="77777777" w:rsidTr="003415A1">
        <w:trPr>
          <w:trHeight w:val="252"/>
        </w:trPr>
        <w:tc>
          <w:tcPr>
            <w:tcW w:w="3056" w:type="pct"/>
            <w:gridSpan w:val="4"/>
            <w:noWrap/>
            <w:vAlign w:val="bottom"/>
            <w:hideMark/>
          </w:tcPr>
          <w:p w14:paraId="4DD20F9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xml:space="preserve">4. Desviaciones de financiación negativas en el ejercicio </w:t>
            </w:r>
          </w:p>
        </w:tc>
        <w:tc>
          <w:tcPr>
            <w:tcW w:w="711" w:type="pct"/>
            <w:noWrap/>
            <w:vAlign w:val="bottom"/>
          </w:tcPr>
          <w:p w14:paraId="0EABF21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7573099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00" w:type="pct"/>
            <w:tcBorders>
              <w:top w:val="nil"/>
              <w:left w:val="nil"/>
              <w:bottom w:val="single" w:sz="4" w:space="0" w:color="auto"/>
              <w:right w:val="single" w:sz="4" w:space="0" w:color="auto"/>
            </w:tcBorders>
            <w:noWrap/>
            <w:vAlign w:val="bottom"/>
          </w:tcPr>
          <w:p w14:paraId="59449AC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335C4A48" w14:textId="77777777" w:rsidTr="003415A1">
        <w:trPr>
          <w:trHeight w:val="252"/>
        </w:trPr>
        <w:tc>
          <w:tcPr>
            <w:tcW w:w="3056" w:type="pct"/>
            <w:gridSpan w:val="4"/>
            <w:noWrap/>
            <w:vAlign w:val="bottom"/>
            <w:hideMark/>
          </w:tcPr>
          <w:p w14:paraId="7C9ED1C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xml:space="preserve">5. Desviaciones de financiación positivas en el ejercicio </w:t>
            </w:r>
          </w:p>
          <w:p w14:paraId="73E384D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II. TOTAL AJUSTES (II=3+4-5)</w:t>
            </w:r>
          </w:p>
        </w:tc>
        <w:tc>
          <w:tcPr>
            <w:tcW w:w="711" w:type="pct"/>
            <w:noWrap/>
            <w:vAlign w:val="bottom"/>
          </w:tcPr>
          <w:p w14:paraId="7A6CA83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tcPr>
          <w:p w14:paraId="357F0E8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00" w:type="pct"/>
            <w:tcBorders>
              <w:top w:val="nil"/>
              <w:left w:val="nil"/>
              <w:bottom w:val="single" w:sz="4" w:space="0" w:color="auto"/>
              <w:right w:val="single" w:sz="4" w:space="0" w:color="auto"/>
            </w:tcBorders>
            <w:noWrap/>
            <w:vAlign w:val="bottom"/>
          </w:tcPr>
          <w:p w14:paraId="665DB10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01042CB6" w14:textId="77777777" w:rsidTr="003415A1">
        <w:trPr>
          <w:trHeight w:val="252"/>
        </w:trPr>
        <w:tc>
          <w:tcPr>
            <w:tcW w:w="2359" w:type="pct"/>
            <w:gridSpan w:val="3"/>
            <w:noWrap/>
            <w:vAlign w:val="bottom"/>
            <w:hideMark/>
          </w:tcPr>
          <w:p w14:paraId="769A7A9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RESULTADO PRESUPUESTARIO AJUSTADO</w:t>
            </w:r>
          </w:p>
        </w:tc>
        <w:tc>
          <w:tcPr>
            <w:tcW w:w="697" w:type="pct"/>
            <w:noWrap/>
            <w:vAlign w:val="bottom"/>
          </w:tcPr>
          <w:p w14:paraId="1F5E6CF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711" w:type="pct"/>
            <w:noWrap/>
            <w:vAlign w:val="bottom"/>
          </w:tcPr>
          <w:p w14:paraId="048725DD"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433" w:type="pct"/>
            <w:tcBorders>
              <w:top w:val="nil"/>
              <w:left w:val="single" w:sz="4" w:space="0" w:color="auto"/>
              <w:bottom w:val="single" w:sz="4" w:space="0" w:color="auto"/>
              <w:right w:val="single" w:sz="4" w:space="0" w:color="auto"/>
            </w:tcBorders>
            <w:noWrap/>
            <w:vAlign w:val="bottom"/>
            <w:hideMark/>
          </w:tcPr>
          <w:p w14:paraId="4FC4328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w:t>
            </w:r>
          </w:p>
        </w:tc>
        <w:tc>
          <w:tcPr>
            <w:tcW w:w="800" w:type="pct"/>
            <w:tcBorders>
              <w:top w:val="nil"/>
              <w:left w:val="nil"/>
              <w:bottom w:val="single" w:sz="4" w:space="0" w:color="auto"/>
              <w:right w:val="single" w:sz="4" w:space="0" w:color="auto"/>
            </w:tcBorders>
            <w:noWrap/>
            <w:vAlign w:val="bottom"/>
            <w:hideMark/>
          </w:tcPr>
          <w:p w14:paraId="34D2409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-2.658,51</w:t>
            </w:r>
          </w:p>
        </w:tc>
      </w:tr>
    </w:tbl>
    <w:p w14:paraId="1833E569" w14:textId="77777777" w:rsidR="0092736D" w:rsidRPr="006E4E79" w:rsidRDefault="0092736D" w:rsidP="00E706A1">
      <w:pPr>
        <w:spacing w:line="288" w:lineRule="auto"/>
        <w:contextualSpacing/>
        <w:jc w:val="both"/>
        <w:rPr>
          <w:rFonts w:ascii="AytoRoquetas Light Condensed" w:hAnsi="AytoRoquetas Light Condensed"/>
          <w:bCs/>
          <w:i/>
          <w:iCs/>
        </w:rPr>
      </w:pPr>
    </w:p>
    <w:p w14:paraId="19F4B5D4" w14:textId="77777777" w:rsidR="0092736D" w:rsidRPr="006E4E79" w:rsidRDefault="0092736D" w:rsidP="00E706A1">
      <w:pPr>
        <w:spacing w:line="288" w:lineRule="auto"/>
        <w:contextualSpacing/>
        <w:jc w:val="both"/>
        <w:rPr>
          <w:rFonts w:ascii="AytoRoquetas Light Condensed" w:hAnsi="AytoRoquetas Light Condensed"/>
          <w:bCs/>
          <w:i/>
          <w:iCs/>
        </w:rPr>
      </w:pPr>
      <w:r w:rsidRPr="006E4E79">
        <w:rPr>
          <w:rFonts w:ascii="AytoRoquetas Light Condensed" w:hAnsi="AytoRoquetas Light Condensed"/>
          <w:bCs/>
          <w:i/>
          <w:iCs/>
        </w:rPr>
        <w:t>B. REMANENTE DE TESORERÍA</w:t>
      </w:r>
    </w:p>
    <w:p w14:paraId="5BF04C56" w14:textId="77777777" w:rsidR="0092736D" w:rsidRPr="006E4E79" w:rsidRDefault="0092736D" w:rsidP="00E706A1">
      <w:pPr>
        <w:spacing w:line="288" w:lineRule="auto"/>
        <w:contextualSpacing/>
        <w:jc w:val="both"/>
        <w:rPr>
          <w:rFonts w:ascii="AytoRoquetas Light Condensed" w:hAnsi="AytoRoquetas Light Condensed"/>
          <w:bCs/>
          <w:i/>
          <w:iCs/>
        </w:rPr>
      </w:pPr>
    </w:p>
    <w:tbl>
      <w:tblPr>
        <w:tblW w:w="5000" w:type="pct"/>
        <w:tblLook w:val="04A0" w:firstRow="1" w:lastRow="0" w:firstColumn="1" w:lastColumn="0" w:noHBand="0" w:noVBand="1"/>
      </w:tblPr>
      <w:tblGrid>
        <w:gridCol w:w="2464"/>
        <w:gridCol w:w="1227"/>
        <w:gridCol w:w="712"/>
        <w:gridCol w:w="1446"/>
        <w:gridCol w:w="1170"/>
        <w:gridCol w:w="1536"/>
      </w:tblGrid>
      <w:tr w:rsidR="0092736D" w:rsidRPr="00DC6628" w14:paraId="613550EC"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2CAD57E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COMPONENTES</w:t>
            </w:r>
          </w:p>
        </w:tc>
        <w:tc>
          <w:tcPr>
            <w:tcW w:w="1978"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1112BE4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IMPORTES AÑO</w:t>
            </w:r>
          </w:p>
        </w:tc>
        <w:tc>
          <w:tcPr>
            <w:tcW w:w="1582"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171A262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IMPORTES AÑO ANTERIOR</w:t>
            </w:r>
          </w:p>
        </w:tc>
      </w:tr>
      <w:tr w:rsidR="0092736D" w:rsidRPr="00DC6628" w14:paraId="47C36FF5"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556E498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 Fondos líquidos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030760B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4D16077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1.838.977,11</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61289EB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6E5ED94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1.962.308,42</w:t>
            </w:r>
          </w:p>
        </w:tc>
      </w:tr>
      <w:tr w:rsidR="0092736D" w:rsidRPr="00DC6628" w14:paraId="342B4925"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2FAAF62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 Derechos pendientes de cobro</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4CB1079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hideMark/>
          </w:tcPr>
          <w:p w14:paraId="3E7CD6C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227.276,73</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5648E04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44D1801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114.834,38</w:t>
            </w:r>
          </w:p>
        </w:tc>
      </w:tr>
      <w:tr w:rsidR="0092736D" w:rsidRPr="00DC6628" w14:paraId="6337CAFB"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BA1EE0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presupuesto corriente</w:t>
            </w:r>
          </w:p>
        </w:tc>
        <w:tc>
          <w:tcPr>
            <w:tcW w:w="717" w:type="pct"/>
            <w:tcBorders>
              <w:top w:val="single" w:sz="2" w:space="0" w:color="000000"/>
              <w:left w:val="single" w:sz="2" w:space="0" w:color="000000"/>
              <w:bottom w:val="single" w:sz="2" w:space="0" w:color="000000"/>
              <w:right w:val="single" w:sz="2" w:space="0" w:color="000000"/>
            </w:tcBorders>
            <w:shd w:val="clear" w:color="auto" w:fill="FFFFFF"/>
            <w:hideMark/>
          </w:tcPr>
          <w:p w14:paraId="0E35575D"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227.276,73</w:t>
            </w: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2F6555F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hideMark/>
          </w:tcPr>
          <w:p w14:paraId="5D9EB92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114.834,38</w:t>
            </w: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2D319BE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038F8A1B"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6E72F0F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presupuestos cerrados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4A94637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9B8BDB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7F54295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5AC2F07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708D41D9"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34B1D9D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operaciones no presupuestarias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25FFEBF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660D610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2A4FA5F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4C9E50C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14750A83"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7624091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Cobros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5F7D502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6578ED2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6B2F4DE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10CC9B7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607D11A4"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6920F4B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3. Obligaciones pendientes de pago</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3059FCD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0746439D"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2D9CA0A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6CCBC62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8.234,45</w:t>
            </w:r>
          </w:p>
        </w:tc>
      </w:tr>
      <w:tr w:rsidR="0092736D" w:rsidRPr="00DC6628" w14:paraId="2D8765F5"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391AB43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presupuesto corriente</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507FA00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4B2C144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75129D7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662ED3F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55586B1C"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3E5F21B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presupuestos cerrados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629CA49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2E64446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579FDDD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2B0E0EB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59E85A76"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3C11F41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De operaciones no presupuestarias</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17CD741E"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3FEC560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hideMark/>
          </w:tcPr>
          <w:p w14:paraId="68AC133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8.234,45</w:t>
            </w: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2C692CC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62A2832C"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41E33E3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4. Partidas pendientes de aplicación</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45D71D5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688DB6D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1FAC82A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381D99D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0,00</w:t>
            </w:r>
          </w:p>
        </w:tc>
      </w:tr>
      <w:tr w:rsidR="0092736D" w:rsidRPr="00DC6628" w14:paraId="2D9544E3"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0F8F1B2F" w14:textId="77777777" w:rsidR="0092736D" w:rsidRPr="00DC6628" w:rsidRDefault="0092736D" w:rsidP="00E706A1">
            <w:pPr>
              <w:pStyle w:val="Prrafodelista"/>
              <w:numPr>
                <w:ilvl w:val="0"/>
                <w:numId w:val="1"/>
              </w:numPr>
              <w:autoSpaceDE w:val="0"/>
              <w:autoSpaceDN w:val="0"/>
              <w:adjustRightInd w:val="0"/>
              <w:spacing w:before="0" w:after="0" w:line="288" w:lineRule="auto"/>
              <w:ind w:left="0" w:firstLine="0"/>
              <w:rPr>
                <w:rFonts w:ascii="AytoRoquetas Light Condensed" w:hAnsi="AytoRoquetas Light Condensed"/>
                <w:bCs/>
                <w:i/>
                <w:iCs/>
                <w:sz w:val="18"/>
                <w:szCs w:val="18"/>
              </w:rPr>
            </w:pPr>
            <w:r w:rsidRPr="00DC6628">
              <w:rPr>
                <w:rFonts w:ascii="AytoRoquetas Light Condensed" w:hAnsi="AytoRoquetas Light Condensed"/>
                <w:bCs/>
                <w:i/>
                <w:iCs/>
                <w:sz w:val="18"/>
                <w:szCs w:val="18"/>
              </w:rPr>
              <w:t>Cobros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001298A5"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647698C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34CF016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0475930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5E289595" w14:textId="77777777" w:rsidTr="003415A1">
        <w:tc>
          <w:tcPr>
            <w:tcW w:w="1440" w:type="pct"/>
            <w:tcBorders>
              <w:top w:val="single" w:sz="2" w:space="0" w:color="000000"/>
              <w:left w:val="single" w:sz="2" w:space="0" w:color="000000"/>
              <w:bottom w:val="single" w:sz="2" w:space="0" w:color="000000"/>
              <w:right w:val="single" w:sz="2" w:space="0" w:color="000000"/>
            </w:tcBorders>
            <w:shd w:val="clear" w:color="auto" w:fill="FFFFFF"/>
            <w:hideMark/>
          </w:tcPr>
          <w:p w14:paraId="528082CB"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 Pagos realizados pendientes de aplicación definitiva</w:t>
            </w:r>
          </w:p>
        </w:tc>
        <w:tc>
          <w:tcPr>
            <w:tcW w:w="717" w:type="pct"/>
            <w:tcBorders>
              <w:top w:val="single" w:sz="2" w:space="0" w:color="000000"/>
              <w:left w:val="single" w:sz="2" w:space="0" w:color="000000"/>
              <w:bottom w:val="single" w:sz="2" w:space="0" w:color="000000"/>
              <w:right w:val="single" w:sz="2" w:space="0" w:color="000000"/>
            </w:tcBorders>
            <w:shd w:val="clear" w:color="auto" w:fill="FFFFFF"/>
          </w:tcPr>
          <w:p w14:paraId="272686C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1261" w:type="pct"/>
            <w:gridSpan w:val="2"/>
            <w:tcBorders>
              <w:top w:val="single" w:sz="2" w:space="0" w:color="000000"/>
              <w:left w:val="single" w:sz="2" w:space="0" w:color="000000"/>
              <w:bottom w:val="single" w:sz="2" w:space="0" w:color="000000"/>
              <w:right w:val="single" w:sz="2" w:space="0" w:color="000000"/>
            </w:tcBorders>
            <w:shd w:val="clear" w:color="auto" w:fill="FFFFFF"/>
          </w:tcPr>
          <w:p w14:paraId="0C0D62C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78922D2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tcPr>
          <w:p w14:paraId="1ADAFCFF"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r>
      <w:tr w:rsidR="0092736D" w:rsidRPr="00DC6628" w14:paraId="2C0A5E8F" w14:textId="77777777" w:rsidTr="003415A1">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55FF51E4" w14:textId="77777777" w:rsidR="0092736D" w:rsidRPr="00DC6628" w:rsidRDefault="0092736D" w:rsidP="00E706A1">
            <w:pPr>
              <w:numPr>
                <w:ilvl w:val="0"/>
                <w:numId w:val="2"/>
              </w:numPr>
              <w:spacing w:after="0"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Remanentes de Tesorería total</w:t>
            </w:r>
          </w:p>
        </w:tc>
        <w:tc>
          <w:tcPr>
            <w:tcW w:w="845" w:type="pct"/>
            <w:tcBorders>
              <w:top w:val="single" w:sz="2" w:space="0" w:color="000000"/>
              <w:left w:val="single" w:sz="2" w:space="0" w:color="000000"/>
              <w:bottom w:val="single" w:sz="2" w:space="0" w:color="000000"/>
              <w:right w:val="single" w:sz="2" w:space="0" w:color="000000"/>
            </w:tcBorders>
            <w:shd w:val="clear" w:color="auto" w:fill="FFFFFF"/>
            <w:hideMark/>
          </w:tcPr>
          <w:p w14:paraId="3EF56CB9"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2.066.253,84</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6858C754"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30E3BE5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2.068.912,35</w:t>
            </w:r>
          </w:p>
        </w:tc>
      </w:tr>
      <w:tr w:rsidR="0092736D" w:rsidRPr="00DC6628" w14:paraId="0FCF4A50" w14:textId="77777777" w:rsidTr="003415A1">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24DA61F4" w14:textId="77777777" w:rsidR="0092736D" w:rsidRPr="00DC6628" w:rsidRDefault="0092736D" w:rsidP="00E706A1">
            <w:pPr>
              <w:numPr>
                <w:ilvl w:val="0"/>
                <w:numId w:val="2"/>
              </w:numPr>
              <w:spacing w:after="0"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Saldos de dudoso cobro</w:t>
            </w:r>
          </w:p>
        </w:tc>
        <w:tc>
          <w:tcPr>
            <w:tcW w:w="845" w:type="pct"/>
            <w:tcBorders>
              <w:top w:val="single" w:sz="2" w:space="0" w:color="000000"/>
              <w:left w:val="single" w:sz="2" w:space="0" w:color="000000"/>
              <w:bottom w:val="single" w:sz="2" w:space="0" w:color="000000"/>
              <w:right w:val="single" w:sz="2" w:space="0" w:color="000000"/>
            </w:tcBorders>
            <w:shd w:val="clear" w:color="auto" w:fill="FFFFFF"/>
          </w:tcPr>
          <w:p w14:paraId="68EC847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54A387C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209BB083"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0’00</w:t>
            </w:r>
          </w:p>
        </w:tc>
      </w:tr>
      <w:tr w:rsidR="0092736D" w:rsidRPr="00DC6628" w14:paraId="457BAD32" w14:textId="77777777" w:rsidTr="003415A1">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1E62A5CC"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III. Exceso de financiación afectada</w:t>
            </w:r>
          </w:p>
        </w:tc>
        <w:tc>
          <w:tcPr>
            <w:tcW w:w="845" w:type="pct"/>
            <w:tcBorders>
              <w:top w:val="single" w:sz="2" w:space="0" w:color="000000"/>
              <w:left w:val="single" w:sz="2" w:space="0" w:color="000000"/>
              <w:bottom w:val="single" w:sz="2" w:space="0" w:color="000000"/>
              <w:right w:val="single" w:sz="2" w:space="0" w:color="000000"/>
            </w:tcBorders>
            <w:shd w:val="clear" w:color="auto" w:fill="FFFFFF"/>
          </w:tcPr>
          <w:p w14:paraId="497F489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330FCB20"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7FF06C67"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0’00</w:t>
            </w:r>
          </w:p>
        </w:tc>
      </w:tr>
      <w:tr w:rsidR="0092736D" w:rsidRPr="00DC6628" w14:paraId="7858183C" w14:textId="77777777" w:rsidTr="003415A1">
        <w:tc>
          <w:tcPr>
            <w:tcW w:w="2573" w:type="pct"/>
            <w:gridSpan w:val="3"/>
            <w:tcBorders>
              <w:top w:val="single" w:sz="2" w:space="0" w:color="000000"/>
              <w:left w:val="single" w:sz="2" w:space="0" w:color="000000"/>
              <w:bottom w:val="single" w:sz="2" w:space="0" w:color="000000"/>
              <w:right w:val="single" w:sz="2" w:space="0" w:color="000000"/>
            </w:tcBorders>
            <w:shd w:val="clear" w:color="auto" w:fill="FFFFFF"/>
            <w:hideMark/>
          </w:tcPr>
          <w:p w14:paraId="34B021B8"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IV. Remanente de tesorería para gastos generales (I-II-III)</w:t>
            </w:r>
          </w:p>
        </w:tc>
        <w:tc>
          <w:tcPr>
            <w:tcW w:w="845" w:type="pct"/>
            <w:tcBorders>
              <w:top w:val="single" w:sz="2" w:space="0" w:color="000000"/>
              <w:left w:val="single" w:sz="2" w:space="0" w:color="000000"/>
              <w:bottom w:val="single" w:sz="2" w:space="0" w:color="000000"/>
              <w:right w:val="single" w:sz="2" w:space="0" w:color="000000"/>
            </w:tcBorders>
            <w:shd w:val="clear" w:color="auto" w:fill="FFFFFF"/>
            <w:hideMark/>
          </w:tcPr>
          <w:p w14:paraId="640A5F6A"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2.066.253,84</w:t>
            </w:r>
          </w:p>
        </w:tc>
        <w:tc>
          <w:tcPr>
            <w:tcW w:w="684" w:type="pct"/>
            <w:tcBorders>
              <w:top w:val="single" w:sz="2" w:space="0" w:color="000000"/>
              <w:left w:val="single" w:sz="2" w:space="0" w:color="000000"/>
              <w:bottom w:val="single" w:sz="2" w:space="0" w:color="000000"/>
              <w:right w:val="single" w:sz="2" w:space="0" w:color="000000"/>
            </w:tcBorders>
            <w:shd w:val="clear" w:color="auto" w:fill="FFFFFF"/>
          </w:tcPr>
          <w:p w14:paraId="7CFB61F6"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p>
        </w:tc>
        <w:tc>
          <w:tcPr>
            <w:tcW w:w="898" w:type="pct"/>
            <w:tcBorders>
              <w:top w:val="single" w:sz="2" w:space="0" w:color="000000"/>
              <w:left w:val="single" w:sz="2" w:space="0" w:color="000000"/>
              <w:bottom w:val="single" w:sz="2" w:space="0" w:color="000000"/>
              <w:right w:val="single" w:sz="2" w:space="0" w:color="000000"/>
            </w:tcBorders>
            <w:shd w:val="clear" w:color="auto" w:fill="FFFFFF"/>
            <w:hideMark/>
          </w:tcPr>
          <w:p w14:paraId="52EA0F41" w14:textId="77777777" w:rsidR="0092736D" w:rsidRPr="00DC6628" w:rsidRDefault="0092736D" w:rsidP="00E706A1">
            <w:pPr>
              <w:spacing w:line="288" w:lineRule="auto"/>
              <w:contextualSpacing/>
              <w:jc w:val="both"/>
              <w:rPr>
                <w:rFonts w:ascii="AytoRoquetas Light Condensed" w:hAnsi="AytoRoquetas Light Condensed"/>
                <w:bCs/>
                <w:i/>
                <w:iCs/>
                <w:sz w:val="18"/>
                <w:szCs w:val="18"/>
              </w:rPr>
            </w:pPr>
            <w:r w:rsidRPr="00DC6628">
              <w:rPr>
                <w:rFonts w:ascii="AytoRoquetas Light Condensed" w:hAnsi="AytoRoquetas Light Condensed"/>
                <w:bCs/>
                <w:i/>
                <w:iCs/>
                <w:sz w:val="18"/>
                <w:szCs w:val="18"/>
              </w:rPr>
              <w:t>2.068.912,35</w:t>
            </w:r>
          </w:p>
        </w:tc>
      </w:tr>
    </w:tbl>
    <w:p w14:paraId="66A6BE04" w14:textId="77777777" w:rsidR="0092736D" w:rsidRPr="006E4E79" w:rsidRDefault="0092736D" w:rsidP="00E706A1">
      <w:pPr>
        <w:spacing w:line="288" w:lineRule="auto"/>
        <w:contextualSpacing/>
        <w:jc w:val="both"/>
        <w:rPr>
          <w:rFonts w:ascii="AytoRoquetas Light Condensed" w:hAnsi="AytoRoquetas Light Condensed"/>
          <w:bCs/>
          <w:i/>
          <w:iCs/>
        </w:rPr>
      </w:pPr>
    </w:p>
    <w:p w14:paraId="25D481FC" w14:textId="77777777" w:rsidR="0092736D" w:rsidRPr="006E4E79" w:rsidRDefault="0092736D" w:rsidP="00E706A1">
      <w:pPr>
        <w:spacing w:line="288" w:lineRule="auto"/>
        <w:contextualSpacing/>
        <w:jc w:val="both"/>
        <w:rPr>
          <w:rFonts w:ascii="AytoRoquetas Light Condensed" w:hAnsi="AytoRoquetas Light Condensed"/>
          <w:bCs/>
          <w:i/>
          <w:iCs/>
        </w:rPr>
      </w:pPr>
      <w:proofErr w:type="gramStart"/>
      <w:r w:rsidRPr="006E4E79">
        <w:rPr>
          <w:rFonts w:ascii="AytoRoquetas Light Condensed" w:hAnsi="AytoRoquetas Light Condensed"/>
          <w:bCs/>
          <w:i/>
          <w:iCs/>
        </w:rPr>
        <w:t>SEGUNDO.-</w:t>
      </w:r>
      <w:proofErr w:type="gramEnd"/>
      <w:r w:rsidRPr="006E4E79">
        <w:rPr>
          <w:rFonts w:ascii="AytoRoquetas Light Condensed" w:hAnsi="AytoRoquetas Light Condensed"/>
          <w:bCs/>
          <w:i/>
          <w:iCs/>
        </w:rPr>
        <w:t xml:space="preserve">  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648B74EA" w14:textId="77777777" w:rsidR="0092736D" w:rsidRPr="006E4E79" w:rsidRDefault="0092736D" w:rsidP="00E706A1">
      <w:pPr>
        <w:spacing w:line="288" w:lineRule="auto"/>
        <w:contextualSpacing/>
        <w:jc w:val="both"/>
        <w:rPr>
          <w:rFonts w:ascii="AytoRoquetas Light Condensed" w:hAnsi="AytoRoquetas Light Condensed"/>
          <w:bCs/>
          <w:i/>
          <w:iCs/>
        </w:rPr>
      </w:pPr>
    </w:p>
    <w:p w14:paraId="55112314" w14:textId="77777777" w:rsidR="0092736D" w:rsidRPr="006E4E79" w:rsidRDefault="0092736D" w:rsidP="00E706A1">
      <w:pPr>
        <w:spacing w:line="288" w:lineRule="auto"/>
        <w:contextualSpacing/>
        <w:jc w:val="both"/>
        <w:rPr>
          <w:rFonts w:ascii="AytoRoquetas Light Condensed" w:hAnsi="AytoRoquetas Light Condensed"/>
          <w:bCs/>
          <w:i/>
          <w:iCs/>
        </w:rPr>
      </w:pPr>
      <w:proofErr w:type="gramStart"/>
      <w:r w:rsidRPr="006E4E79">
        <w:rPr>
          <w:rFonts w:ascii="AytoRoquetas Light Condensed" w:hAnsi="AytoRoquetas Light Condensed"/>
          <w:bCs/>
          <w:i/>
          <w:iCs/>
        </w:rPr>
        <w:t>TERCERO.-</w:t>
      </w:r>
      <w:proofErr w:type="gramEnd"/>
      <w:r w:rsidRPr="006E4E79">
        <w:rPr>
          <w:rFonts w:ascii="AytoRoquetas Light Condensed" w:hAnsi="AytoRoquetas Light Condensed"/>
          <w:bCs/>
          <w:i/>
          <w:iCs/>
        </w:rPr>
        <w:t xml:space="preserve">  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0D7B8997" w14:textId="77777777" w:rsidR="0092736D" w:rsidRPr="006E4E79" w:rsidRDefault="0092736D" w:rsidP="00E706A1">
      <w:pPr>
        <w:spacing w:line="288" w:lineRule="auto"/>
        <w:contextualSpacing/>
        <w:jc w:val="both"/>
        <w:rPr>
          <w:rFonts w:ascii="AytoRoquetas Light Condensed" w:hAnsi="AytoRoquetas Light Condensed"/>
        </w:rPr>
      </w:pPr>
    </w:p>
    <w:p w14:paraId="575A18BB" w14:textId="77777777" w:rsidR="0092736D" w:rsidRPr="006E4E79" w:rsidRDefault="0092736D" w:rsidP="00E706A1">
      <w:pPr>
        <w:pStyle w:val="Formatolibre"/>
        <w:spacing w:line="288" w:lineRule="auto"/>
        <w:contextualSpacing/>
        <w:jc w:val="both"/>
        <w:rPr>
          <w:rFonts w:ascii="AytoRoquetas Light Condensed" w:hAnsi="AytoRoquetas Light Condensed" w:cs="Arial"/>
          <w:bCs/>
          <w:color w:val="auto"/>
          <w:sz w:val="22"/>
          <w:szCs w:val="18"/>
          <w:lang w:val="es-ES"/>
        </w:rPr>
      </w:pPr>
      <w:r>
        <w:rPr>
          <w:rFonts w:ascii="AytoRoquetas Light Condensed" w:hAnsi="AytoRoquetas Light Condensed" w:cs="Arial"/>
          <w:bCs/>
          <w:color w:val="auto"/>
          <w:sz w:val="22"/>
          <w:szCs w:val="18"/>
          <w:lang w:val="es-ES"/>
        </w:rPr>
        <w:tab/>
        <w:t xml:space="preserve">Tras una breve intervención de </w:t>
      </w:r>
      <w:r w:rsidRPr="006E4E79">
        <w:rPr>
          <w:rFonts w:ascii="AytoRoquetas Light Condensed" w:hAnsi="AytoRoquetas Light Condensed" w:cs="Arial"/>
          <w:bCs/>
          <w:color w:val="auto"/>
          <w:sz w:val="22"/>
          <w:szCs w:val="18"/>
          <w:lang w:val="es-ES"/>
        </w:rPr>
        <w:t>la Sra. Interventora del Consorcio para explicar el contenido del decreto</w:t>
      </w:r>
      <w:r>
        <w:rPr>
          <w:rFonts w:ascii="AytoRoquetas Light Condensed" w:hAnsi="AytoRoquetas Light Condensed" w:cs="Arial"/>
          <w:bCs/>
          <w:color w:val="auto"/>
          <w:sz w:val="22"/>
          <w:szCs w:val="18"/>
          <w:lang w:val="es-ES"/>
        </w:rPr>
        <w:t>,</w:t>
      </w:r>
    </w:p>
    <w:p w14:paraId="3673A496" w14:textId="77777777" w:rsidR="0092736D" w:rsidRPr="006E4E79" w:rsidRDefault="0092736D" w:rsidP="00E706A1">
      <w:pPr>
        <w:pStyle w:val="Formatolibre"/>
        <w:spacing w:line="288" w:lineRule="auto"/>
        <w:contextualSpacing/>
        <w:jc w:val="both"/>
        <w:rPr>
          <w:rFonts w:ascii="AytoRoquetas Light Condensed" w:hAnsi="AytoRoquetas Light Condensed" w:cs="Arial"/>
          <w:bCs/>
          <w:color w:val="auto"/>
          <w:sz w:val="22"/>
          <w:szCs w:val="18"/>
          <w:lang w:val="es-ES"/>
        </w:rPr>
      </w:pPr>
    </w:p>
    <w:p w14:paraId="0D7DE27D" w14:textId="77777777" w:rsidR="0092736D" w:rsidRPr="006E4E79" w:rsidRDefault="0092736D" w:rsidP="00E706A1">
      <w:pPr>
        <w:pStyle w:val="Formatolibre"/>
        <w:spacing w:line="288" w:lineRule="auto"/>
        <w:contextualSpacing/>
        <w:jc w:val="both"/>
        <w:rPr>
          <w:rFonts w:ascii="AytoRoquetas Light Condensed" w:hAnsi="AytoRoquetas Light Condensed" w:cs="Arial"/>
          <w:bCs/>
          <w:color w:val="auto"/>
          <w:sz w:val="22"/>
          <w:szCs w:val="18"/>
          <w:lang w:val="es-ES"/>
        </w:rPr>
      </w:pPr>
      <w:r w:rsidRPr="006E4E79">
        <w:rPr>
          <w:rFonts w:ascii="AytoRoquetas Light Condensed" w:hAnsi="AytoRoquetas Light Condensed" w:cs="Arial"/>
          <w:bCs/>
          <w:color w:val="auto"/>
          <w:sz w:val="22"/>
          <w:szCs w:val="18"/>
          <w:lang w:val="es-ES"/>
        </w:rPr>
        <w:tab/>
        <w:t>La JUNTA GENERAL toma conocimiento de la Liquidación del Presupuesto del Ejercicio 2022.</w:t>
      </w:r>
    </w:p>
    <w:p w14:paraId="579B8CA4" w14:textId="77777777" w:rsidR="00BF57D9" w:rsidRDefault="00BF57D9" w:rsidP="00E706A1">
      <w:pPr>
        <w:pStyle w:val="Default"/>
        <w:spacing w:line="288" w:lineRule="auto"/>
        <w:contextualSpacing/>
        <w:jc w:val="both"/>
        <w:rPr>
          <w:rFonts w:cs="Frutiger Light Condensed"/>
          <w:sz w:val="22"/>
          <w:szCs w:val="22"/>
        </w:rPr>
      </w:pPr>
    </w:p>
    <w:p w14:paraId="059F4B89" w14:textId="7A0CC982" w:rsidR="00BF57D9" w:rsidRPr="00BF57D9" w:rsidRDefault="00BF57D9" w:rsidP="00E706A1">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E706A1">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E706A1">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rutiger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num w:numId="1" w16cid:durableId="828786988">
    <w:abstractNumId w:val="1"/>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1BAD"/>
    <w:rsid w:val="00170E73"/>
    <w:rsid w:val="001A725E"/>
    <w:rsid w:val="0021394F"/>
    <w:rsid w:val="003D1143"/>
    <w:rsid w:val="005D7CEB"/>
    <w:rsid w:val="006223D7"/>
    <w:rsid w:val="006C2870"/>
    <w:rsid w:val="00832717"/>
    <w:rsid w:val="008743DE"/>
    <w:rsid w:val="008761D5"/>
    <w:rsid w:val="0092736D"/>
    <w:rsid w:val="00BF0BD7"/>
    <w:rsid w:val="00BF57D9"/>
    <w:rsid w:val="00DD6B08"/>
    <w:rsid w:val="00E03B8A"/>
    <w:rsid w:val="00E706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698</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2023-02-23T12:29:00Z</dcterms:created>
  <dcterms:modified xsi:type="dcterms:W3CDTF">2023-02-23T12:40:00Z</dcterms:modified>
</cp:coreProperties>
</file>