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B75C" w14:textId="492A3A8C" w:rsidR="00BF57D9" w:rsidRPr="00BF57D9" w:rsidRDefault="00BF57D9" w:rsidP="00B42515">
      <w:pPr>
        <w:pStyle w:val="Default"/>
        <w:spacing w:line="288" w:lineRule="auto"/>
        <w:contextualSpacing/>
        <w:jc w:val="both"/>
        <w:rPr>
          <w:sz w:val="26"/>
          <w:szCs w:val="26"/>
        </w:rPr>
      </w:pPr>
      <w:r w:rsidRPr="00BF57D9">
        <w:rPr>
          <w:b/>
          <w:bCs/>
          <w:sz w:val="26"/>
          <w:szCs w:val="26"/>
        </w:rPr>
        <w:t xml:space="preserve">DON GUILLERMO M. LAGO NÚÑEZ, SECRETARIO DEL CONSORCIO PARA LA GESTIÓN DEL CICLO INTEGRAL DEL AGUA DE USO URBANO DEL PONIENTE ALMERIENSE, </w:t>
      </w:r>
    </w:p>
    <w:p w14:paraId="633BF7AB" w14:textId="77777777" w:rsidR="00BF57D9" w:rsidRPr="00BF57D9" w:rsidRDefault="00BF57D9" w:rsidP="00B42515">
      <w:pPr>
        <w:pStyle w:val="Default"/>
        <w:spacing w:line="288" w:lineRule="auto"/>
        <w:contextualSpacing/>
        <w:jc w:val="both"/>
        <w:rPr>
          <w:sz w:val="22"/>
          <w:szCs w:val="22"/>
        </w:rPr>
      </w:pPr>
    </w:p>
    <w:p w14:paraId="5F8319C3" w14:textId="322D0466" w:rsidR="00BF57D9" w:rsidRPr="00BF57D9" w:rsidRDefault="00BF57D9" w:rsidP="00B42515">
      <w:pPr>
        <w:pStyle w:val="Default"/>
        <w:spacing w:line="288" w:lineRule="auto"/>
        <w:contextualSpacing/>
        <w:jc w:val="both"/>
        <w:rPr>
          <w:sz w:val="22"/>
          <w:szCs w:val="22"/>
        </w:rPr>
      </w:pPr>
      <w:r w:rsidRPr="00BF57D9">
        <w:rPr>
          <w:sz w:val="22"/>
          <w:szCs w:val="22"/>
        </w:rPr>
        <w:t xml:space="preserve">CERTIFICO: Que la Junta General del Consorcio para </w:t>
      </w:r>
      <w:r w:rsidRPr="00161BAD">
        <w:rPr>
          <w:color w:val="auto"/>
          <w:sz w:val="22"/>
          <w:szCs w:val="22"/>
        </w:rPr>
        <w:t xml:space="preserve">la Gestión del Ciclo Integral del Agua de Uso Urbano del Poniente Almeriense en sesión extraordinaria celebrada el </w:t>
      </w:r>
      <w:r w:rsidR="00161BAD" w:rsidRPr="00161BAD">
        <w:rPr>
          <w:color w:val="auto"/>
          <w:sz w:val="22"/>
          <w:szCs w:val="22"/>
        </w:rPr>
        <w:t>22</w:t>
      </w:r>
      <w:r w:rsidRPr="00161BAD">
        <w:rPr>
          <w:color w:val="auto"/>
          <w:sz w:val="22"/>
          <w:szCs w:val="22"/>
        </w:rPr>
        <w:t xml:space="preserve"> de </w:t>
      </w:r>
      <w:r w:rsidR="00161BAD" w:rsidRPr="00161BAD">
        <w:rPr>
          <w:color w:val="auto"/>
          <w:sz w:val="22"/>
          <w:szCs w:val="22"/>
        </w:rPr>
        <w:t>febrero</w:t>
      </w:r>
      <w:r w:rsidRPr="00161BAD">
        <w:rPr>
          <w:color w:val="auto"/>
          <w:sz w:val="22"/>
          <w:szCs w:val="22"/>
        </w:rPr>
        <w:t xml:space="preserve"> d</w:t>
      </w:r>
      <w:r w:rsidRPr="00BF57D9">
        <w:rPr>
          <w:sz w:val="22"/>
          <w:szCs w:val="22"/>
        </w:rPr>
        <w:t>e 202</w:t>
      </w:r>
      <w:r>
        <w:rPr>
          <w:sz w:val="22"/>
          <w:szCs w:val="22"/>
        </w:rPr>
        <w:t>3</w:t>
      </w:r>
      <w:r w:rsidRPr="00BF57D9">
        <w:rPr>
          <w:sz w:val="22"/>
          <w:szCs w:val="22"/>
        </w:rPr>
        <w:t xml:space="preserve">, adoptó entre otros el Acuerdo del siguiente tenor literal: </w:t>
      </w:r>
    </w:p>
    <w:p w14:paraId="29AAEF59" w14:textId="77777777" w:rsidR="00BF57D9" w:rsidRPr="00BF57D9" w:rsidRDefault="00BF57D9" w:rsidP="00B42515">
      <w:pPr>
        <w:pStyle w:val="Default"/>
        <w:spacing w:line="288" w:lineRule="auto"/>
        <w:contextualSpacing/>
        <w:jc w:val="both"/>
        <w:rPr>
          <w:sz w:val="22"/>
          <w:szCs w:val="26"/>
        </w:rPr>
      </w:pPr>
    </w:p>
    <w:p w14:paraId="3868AF1A" w14:textId="77777777" w:rsidR="00E07A0B" w:rsidRPr="001F1EA5" w:rsidRDefault="00E07A0B" w:rsidP="00B42515">
      <w:pPr>
        <w:spacing w:line="288" w:lineRule="auto"/>
        <w:contextualSpacing/>
        <w:jc w:val="both"/>
        <w:rPr>
          <w:rFonts w:ascii="AytoRoquetas Light Condensed" w:hAnsi="AytoRoquetas Light Condensed" w:cs="Frutiger-LightCn"/>
          <w:b/>
          <w:bCs/>
          <w:sz w:val="26"/>
          <w:szCs w:val="26"/>
        </w:rPr>
      </w:pPr>
      <w:r w:rsidRPr="001F1EA5">
        <w:rPr>
          <w:rFonts w:ascii="AytoRoquetas Light Condensed" w:hAnsi="AytoRoquetas Light Condensed" w:cs="Frutiger-LightCn"/>
          <w:b/>
          <w:bCs/>
          <w:sz w:val="26"/>
          <w:szCs w:val="26"/>
        </w:rPr>
        <w:t>9 APROBACION DEFINITIVA de la Cuenta General del Ejercicio 2021.</w:t>
      </w:r>
    </w:p>
    <w:p w14:paraId="23124C11" w14:textId="77777777" w:rsidR="00E07A0B" w:rsidRPr="000914C2" w:rsidRDefault="00E07A0B" w:rsidP="00B42515">
      <w:pPr>
        <w:spacing w:line="288" w:lineRule="auto"/>
        <w:contextualSpacing/>
        <w:jc w:val="both"/>
        <w:rPr>
          <w:rFonts w:ascii="AytoRoquetas Light Condensed" w:hAnsi="AytoRoquetas Light Condensed" w:cs="Frutiger-LightCn"/>
          <w:szCs w:val="20"/>
        </w:rPr>
      </w:pPr>
    </w:p>
    <w:p w14:paraId="0FFCF6EE" w14:textId="77777777" w:rsidR="00E07A0B" w:rsidRPr="000914C2" w:rsidRDefault="00E07A0B" w:rsidP="00B42515">
      <w:pPr>
        <w:spacing w:line="288" w:lineRule="auto"/>
        <w:ind w:firstLine="720"/>
        <w:contextualSpacing/>
        <w:jc w:val="both"/>
        <w:rPr>
          <w:rFonts w:ascii="AytoRoquetas Light Condensed" w:hAnsi="AytoRoquetas Light Condensed" w:cs="Frutiger-LightCn"/>
          <w:szCs w:val="20"/>
        </w:rPr>
      </w:pPr>
      <w:r w:rsidRPr="000914C2">
        <w:rPr>
          <w:rFonts w:ascii="AytoRoquetas Light Condensed" w:hAnsi="AytoRoquetas Light Condensed" w:cs="Frutiger-LightCn"/>
          <w:szCs w:val="20"/>
        </w:rPr>
        <w:t>Se da cuenta del informe de Intervención de fecha 13 de junio de 2022:</w:t>
      </w:r>
    </w:p>
    <w:p w14:paraId="7699B843" w14:textId="77777777" w:rsidR="00E07A0B" w:rsidRPr="000914C2" w:rsidRDefault="00E07A0B" w:rsidP="00B42515">
      <w:pPr>
        <w:spacing w:line="288" w:lineRule="auto"/>
        <w:contextualSpacing/>
        <w:jc w:val="both"/>
        <w:rPr>
          <w:rFonts w:ascii="AytoRoquetas Light Condensed" w:hAnsi="AytoRoquetas Light Condensed" w:cs="Frutiger-LightCn"/>
          <w:szCs w:val="20"/>
        </w:rPr>
      </w:pPr>
    </w:p>
    <w:p w14:paraId="023EDE33" w14:textId="77777777" w:rsidR="00E07A0B" w:rsidRPr="000914C2" w:rsidRDefault="00E07A0B" w:rsidP="00B42515">
      <w:pPr>
        <w:spacing w:line="288" w:lineRule="auto"/>
        <w:contextualSpacing/>
        <w:jc w:val="both"/>
        <w:rPr>
          <w:rFonts w:ascii="AytoRoquetas Light Condensed" w:hAnsi="AytoRoquetas Light Condensed" w:cs="Arial"/>
          <w:i/>
          <w:iCs/>
        </w:rPr>
      </w:pPr>
      <w:r w:rsidRPr="000914C2">
        <w:rPr>
          <w:rFonts w:ascii="AytoRoquetas Light Condensed" w:hAnsi="AytoRoquetas Light Condensed" w:cs="Arial"/>
          <w:i/>
          <w:iCs/>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40DF07BE"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4738ED3A" w14:textId="77777777" w:rsidR="00E07A0B" w:rsidRPr="000914C2" w:rsidRDefault="00E07A0B" w:rsidP="00B42515">
      <w:pPr>
        <w:spacing w:line="288" w:lineRule="auto"/>
        <w:ind w:firstLine="720"/>
        <w:contextualSpacing/>
        <w:jc w:val="both"/>
        <w:rPr>
          <w:rFonts w:ascii="AytoRoquetas Light Condensed" w:hAnsi="AytoRoquetas Light Condensed" w:cs="Arial"/>
          <w:i/>
          <w:iCs/>
        </w:rPr>
      </w:pPr>
      <w:r w:rsidRPr="000914C2">
        <w:rPr>
          <w:rFonts w:ascii="AytoRoquetas Light Condensed" w:hAnsi="AytoRoquetas Light Condensed" w:cs="Arial"/>
          <w:i/>
          <w:iCs/>
        </w:rPr>
        <w:t>Al día de la fecha no se encuentra constituido el Consejo de Participación Social por lo que habrá de ser la Junta General del Consorcio quien examine las cuentas, se expongan a información pública y posteriormente apruebe las mismas.</w:t>
      </w:r>
    </w:p>
    <w:p w14:paraId="6DF19572"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67FF2C46" w14:textId="77777777" w:rsidR="00E07A0B" w:rsidRPr="000914C2" w:rsidRDefault="00E07A0B" w:rsidP="00B42515">
      <w:pPr>
        <w:spacing w:line="288" w:lineRule="auto"/>
        <w:ind w:firstLine="720"/>
        <w:contextualSpacing/>
        <w:jc w:val="both"/>
        <w:rPr>
          <w:rFonts w:ascii="AytoRoquetas Light Condensed" w:hAnsi="AytoRoquetas Light Condensed" w:cs="Arial"/>
          <w:i/>
          <w:iCs/>
        </w:rPr>
      </w:pPr>
      <w:r w:rsidRPr="000914C2">
        <w:rPr>
          <w:rFonts w:ascii="AytoRoquetas Light Condensed" w:hAnsi="AytoRoquetas Light Condensed" w:cs="Arial"/>
          <w:i/>
          <w:iCs/>
        </w:rPr>
        <w:t>Confeccionados los estados que componen la Cuenta General de la Entidad Local, correspondiente al ejercicio 2021, y una vez llevada a cabo la comprobación y análisis de los mismos, preparada la documentación complementaria exigida por la normativa vigente y una vez aprobada la liquidación del presupuesto del ejercicio 2021, mediante Decreto de Presidencia de 09 de febrero de 2022,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p>
    <w:p w14:paraId="43526EFE"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4C78DFE3" w14:textId="77777777" w:rsidR="00E07A0B" w:rsidRPr="000914C2" w:rsidRDefault="00E07A0B" w:rsidP="00B42515">
      <w:pPr>
        <w:pStyle w:val="Textodebloque"/>
        <w:spacing w:line="288" w:lineRule="auto"/>
        <w:contextualSpacing/>
        <w:rPr>
          <w:rFonts w:ascii="AytoRoquetas Light Condensed" w:hAnsi="AytoRoquetas Light Condensed"/>
          <w:b/>
          <w:bCs/>
          <w:i/>
          <w:iCs/>
          <w:sz w:val="22"/>
        </w:rPr>
      </w:pPr>
      <w:r w:rsidRPr="000914C2">
        <w:rPr>
          <w:rFonts w:ascii="AytoRoquetas Light Condensed" w:hAnsi="AytoRoquetas Light Condensed"/>
          <w:b/>
          <w:bCs/>
          <w:i/>
          <w:iCs/>
          <w:sz w:val="22"/>
        </w:rPr>
        <w:t>INFORME</w:t>
      </w:r>
    </w:p>
    <w:p w14:paraId="5431EA98" w14:textId="77777777" w:rsidR="00E07A0B" w:rsidRPr="000914C2" w:rsidRDefault="00E07A0B" w:rsidP="00B42515">
      <w:pPr>
        <w:pStyle w:val="Textodebloque"/>
        <w:spacing w:line="288" w:lineRule="auto"/>
        <w:contextualSpacing/>
        <w:rPr>
          <w:rFonts w:ascii="AytoRoquetas Light Condensed" w:hAnsi="AytoRoquetas Light Condensed"/>
          <w:i/>
          <w:iCs/>
          <w:sz w:val="22"/>
        </w:rPr>
      </w:pPr>
    </w:p>
    <w:p w14:paraId="1A01AEF9" w14:textId="77777777" w:rsidR="00E07A0B" w:rsidRPr="000914C2" w:rsidRDefault="00E07A0B" w:rsidP="00B42515">
      <w:pPr>
        <w:pStyle w:val="Textodebloque"/>
        <w:spacing w:line="288" w:lineRule="auto"/>
        <w:contextualSpacing/>
        <w:rPr>
          <w:rFonts w:ascii="AytoRoquetas Light Condensed" w:hAnsi="AytoRoquetas Light Condensed"/>
          <w:i/>
          <w:iCs/>
          <w:sz w:val="22"/>
        </w:rPr>
      </w:pPr>
      <w:r>
        <w:rPr>
          <w:rFonts w:ascii="AytoRoquetas Light Condensed" w:hAnsi="AytoRoquetas Light Condensed"/>
          <w:b/>
          <w:bCs/>
          <w:i/>
          <w:iCs/>
          <w:sz w:val="22"/>
        </w:rPr>
        <w:tab/>
      </w:r>
      <w:r w:rsidRPr="000914C2">
        <w:rPr>
          <w:rFonts w:ascii="AytoRoquetas Light Condensed" w:hAnsi="AytoRoquetas Light Condensed"/>
          <w:b/>
          <w:bCs/>
          <w:i/>
          <w:iCs/>
          <w:sz w:val="22"/>
        </w:rPr>
        <w:t>PRIMERO.</w:t>
      </w:r>
      <w:r w:rsidRPr="000914C2">
        <w:rPr>
          <w:rFonts w:ascii="AytoRoquetas Light Condensed" w:hAnsi="AytoRoquetas Light Condensed"/>
          <w:i/>
          <w:iCs/>
          <w:sz w:val="22"/>
        </w:rPr>
        <w:t xml:space="preserve"> La Legislación aplicable es la siguiente:</w:t>
      </w:r>
    </w:p>
    <w:p w14:paraId="4DA2538F" w14:textId="77777777" w:rsidR="00E07A0B" w:rsidRPr="000914C2" w:rsidRDefault="00E07A0B" w:rsidP="00B42515">
      <w:pPr>
        <w:pStyle w:val="Prrafodelista"/>
        <w:numPr>
          <w:ilvl w:val="0"/>
          <w:numId w:val="6"/>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lastRenderedPageBreak/>
        <w:t>Los artículos 22.2 e) y 116 de la Ley 7/1985, de 2 de abril, Reguladora de las Bases del Régimen Local.</w:t>
      </w:r>
    </w:p>
    <w:p w14:paraId="676C6B44" w14:textId="77777777" w:rsidR="00E07A0B" w:rsidRPr="000914C2" w:rsidRDefault="00E07A0B" w:rsidP="00B42515">
      <w:pPr>
        <w:pStyle w:val="Prrafodelista"/>
        <w:numPr>
          <w:ilvl w:val="0"/>
          <w:numId w:val="6"/>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Ley 40/2015, de 1 de octubre, de Régimen Jurídico del Sector Público.</w:t>
      </w:r>
    </w:p>
    <w:p w14:paraId="455BF322" w14:textId="77777777" w:rsidR="00E07A0B" w:rsidRPr="000914C2" w:rsidRDefault="00E07A0B" w:rsidP="00B42515">
      <w:pPr>
        <w:pStyle w:val="Prrafodelista"/>
        <w:numPr>
          <w:ilvl w:val="0"/>
          <w:numId w:val="6"/>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Los artículos 208 a 212 del Texto Refundido de la Ley Reguladora de las Haciendas Locales aprobado por Real Decreto Legislativo 2/2004, de 5 de marzo.</w:t>
      </w:r>
    </w:p>
    <w:p w14:paraId="738B3A9D" w14:textId="77777777" w:rsidR="00E07A0B" w:rsidRPr="000914C2" w:rsidRDefault="00E07A0B" w:rsidP="00B42515">
      <w:pPr>
        <w:pStyle w:val="Prrafodelista"/>
        <w:numPr>
          <w:ilvl w:val="0"/>
          <w:numId w:val="6"/>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El artículo 119.3 de la Ley 47/2003, de 26 de noviembre, General Presupuestaria.</w:t>
      </w:r>
    </w:p>
    <w:p w14:paraId="3F547C04" w14:textId="77777777" w:rsidR="00E07A0B" w:rsidRPr="000914C2" w:rsidRDefault="00E07A0B" w:rsidP="00B42515">
      <w:pPr>
        <w:pStyle w:val="Prrafodelista"/>
        <w:numPr>
          <w:ilvl w:val="0"/>
          <w:numId w:val="6"/>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Las Reglas 44 y siguientes de la Orden HAP/1781/2013, de 20 de septiembre, por la que se aprueba la Instrucción del Modelo Normal de Contabilidad Local.</w:t>
      </w:r>
    </w:p>
    <w:p w14:paraId="27267D59" w14:textId="77777777" w:rsidR="00E07A0B" w:rsidRPr="000914C2" w:rsidRDefault="00E07A0B" w:rsidP="00B42515">
      <w:pPr>
        <w:pStyle w:val="Prrafodelista"/>
        <w:numPr>
          <w:ilvl w:val="0"/>
          <w:numId w:val="6"/>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Resolución de 28 de julio de 2006, de la Intervención General de la Administración del Estado, por la que se recomienda un formato normalizado de la cuenta general de las entidades locales en soporte informático que facilite su rendición.</w:t>
      </w:r>
    </w:p>
    <w:p w14:paraId="0AA37549" w14:textId="77777777" w:rsidR="00E07A0B" w:rsidRPr="000914C2" w:rsidRDefault="00E07A0B" w:rsidP="00B42515">
      <w:pPr>
        <w:pStyle w:val="Prrafodelista"/>
        <w:numPr>
          <w:ilvl w:val="0"/>
          <w:numId w:val="6"/>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La Orden EHA/3565/2008, de 3 de diciembre, por la que se Aprueba la Estructura de los Presupuestos de las Entidades Locales, modificada por la Orden HAP/419/2014, de 14 de marzo.</w:t>
      </w:r>
    </w:p>
    <w:p w14:paraId="3BD71C9B" w14:textId="77777777" w:rsidR="00E07A0B" w:rsidRPr="000914C2" w:rsidRDefault="00E07A0B" w:rsidP="00B42515">
      <w:pPr>
        <w:pStyle w:val="Prrafodelista"/>
        <w:numPr>
          <w:ilvl w:val="0"/>
          <w:numId w:val="6"/>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46712ACB" w14:textId="77777777" w:rsidR="00E07A0B" w:rsidRPr="000914C2" w:rsidRDefault="00E07A0B" w:rsidP="00B42515">
      <w:pPr>
        <w:pStyle w:val="Prrafodelista"/>
        <w:numPr>
          <w:ilvl w:val="0"/>
          <w:numId w:val="6"/>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Convenio de 21 de abril de 2015, entre la Cámara de Cuentas de Andalucía y el Tribunal de Cuentas para la coordinación de la rendición telemática de las Cuentas Generales de las entidades locales andaluzas.</w:t>
      </w:r>
    </w:p>
    <w:p w14:paraId="7E838855" w14:textId="77777777" w:rsidR="00E07A0B" w:rsidRPr="000914C2" w:rsidRDefault="00E07A0B" w:rsidP="00B42515">
      <w:pPr>
        <w:spacing w:line="288" w:lineRule="auto"/>
        <w:contextualSpacing/>
        <w:jc w:val="both"/>
        <w:rPr>
          <w:rFonts w:ascii="AytoRoquetas Light Condensed" w:hAnsi="AytoRoquetas Light Condensed" w:cs="Arial"/>
          <w:b/>
          <w:bCs/>
          <w:i/>
          <w:iCs/>
        </w:rPr>
      </w:pPr>
    </w:p>
    <w:p w14:paraId="171215E0" w14:textId="77777777" w:rsidR="00E07A0B" w:rsidRPr="000914C2" w:rsidRDefault="00E07A0B" w:rsidP="00B42515">
      <w:pPr>
        <w:spacing w:line="288" w:lineRule="auto"/>
        <w:ind w:firstLine="720"/>
        <w:contextualSpacing/>
        <w:jc w:val="both"/>
        <w:rPr>
          <w:rFonts w:ascii="AytoRoquetas Light Condensed" w:hAnsi="AytoRoquetas Light Condensed" w:cs="Arial"/>
          <w:i/>
          <w:iCs/>
        </w:rPr>
      </w:pPr>
      <w:r w:rsidRPr="000914C2">
        <w:rPr>
          <w:rFonts w:ascii="AytoRoquetas Light Condensed" w:hAnsi="AytoRoquetas Light Condensed" w:cs="Arial"/>
          <w:b/>
          <w:bCs/>
          <w:i/>
          <w:iCs/>
        </w:rPr>
        <w:t>SEGUNDO.</w:t>
      </w:r>
      <w:r w:rsidRPr="000914C2">
        <w:rPr>
          <w:rFonts w:ascii="AytoRoquetas Light Condensed" w:hAnsi="AytoRoquetas Light Condensed" w:cs="Arial"/>
          <w:i/>
          <w:iCs/>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2BDDE28E" w14:textId="77777777" w:rsidR="00E07A0B" w:rsidRPr="000914C2" w:rsidRDefault="00E07A0B" w:rsidP="00B42515">
      <w:pPr>
        <w:spacing w:line="288" w:lineRule="auto"/>
        <w:ind w:firstLine="1134"/>
        <w:contextualSpacing/>
        <w:jc w:val="both"/>
        <w:rPr>
          <w:rFonts w:ascii="AytoRoquetas Light Condensed" w:hAnsi="AytoRoquetas Light Condensed" w:cs="Arial"/>
          <w:i/>
          <w:iCs/>
        </w:rPr>
      </w:pPr>
      <w:r w:rsidRPr="000914C2">
        <w:rPr>
          <w:rFonts w:ascii="AytoRoquetas Light Condensed" w:hAnsi="AytoRoquetas Light Condensed" w:cs="Arial"/>
          <w:i/>
          <w:iC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7A49338E" w14:textId="77777777" w:rsidR="00E07A0B" w:rsidRPr="000914C2" w:rsidRDefault="00E07A0B" w:rsidP="00B42515">
      <w:pPr>
        <w:spacing w:line="288" w:lineRule="auto"/>
        <w:contextualSpacing/>
        <w:jc w:val="both"/>
        <w:rPr>
          <w:rFonts w:ascii="AytoRoquetas Light Condensed" w:hAnsi="AytoRoquetas Light Condensed" w:cs="Arial"/>
          <w:b/>
          <w:bCs/>
          <w:i/>
          <w:iCs/>
        </w:rPr>
      </w:pPr>
    </w:p>
    <w:p w14:paraId="654BC3D9" w14:textId="77777777" w:rsidR="00E07A0B" w:rsidRPr="000914C2" w:rsidRDefault="00E07A0B" w:rsidP="00B42515">
      <w:pPr>
        <w:spacing w:line="288" w:lineRule="auto"/>
        <w:ind w:firstLine="720"/>
        <w:contextualSpacing/>
        <w:jc w:val="both"/>
        <w:rPr>
          <w:rFonts w:ascii="AytoRoquetas Light Condensed" w:hAnsi="AytoRoquetas Light Condensed" w:cs="Arial"/>
          <w:i/>
          <w:iCs/>
        </w:rPr>
      </w:pPr>
      <w:r w:rsidRPr="000914C2">
        <w:rPr>
          <w:rFonts w:ascii="AytoRoquetas Light Condensed" w:hAnsi="AytoRoquetas Light Condensed" w:cs="Arial"/>
          <w:b/>
          <w:bCs/>
          <w:i/>
          <w:iCs/>
        </w:rPr>
        <w:t>TERCERO.</w:t>
      </w:r>
      <w:r w:rsidRPr="000914C2">
        <w:rPr>
          <w:rFonts w:ascii="AytoRoquetas Light Condensed" w:hAnsi="AytoRoquetas Light Condensed" w:cs="Arial"/>
          <w:i/>
          <w:iCs/>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14:paraId="26A54003"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2C958750" w14:textId="77777777" w:rsidR="00E07A0B" w:rsidRPr="000914C2" w:rsidRDefault="00E07A0B" w:rsidP="00B42515">
      <w:pPr>
        <w:spacing w:line="288" w:lineRule="auto"/>
        <w:ind w:firstLine="720"/>
        <w:contextualSpacing/>
        <w:jc w:val="both"/>
        <w:rPr>
          <w:rFonts w:ascii="AytoRoquetas Light Condensed" w:hAnsi="AytoRoquetas Light Condensed" w:cs="Arial"/>
          <w:i/>
          <w:iCs/>
        </w:rPr>
      </w:pPr>
      <w:r w:rsidRPr="000914C2">
        <w:rPr>
          <w:rFonts w:ascii="AytoRoquetas Light Condensed" w:hAnsi="AytoRoquetas Light Condensed" w:cs="Arial"/>
          <w:b/>
          <w:bCs/>
          <w:i/>
          <w:iCs/>
        </w:rPr>
        <w:t>CUARTO.</w:t>
      </w:r>
      <w:r w:rsidRPr="000914C2">
        <w:rPr>
          <w:rFonts w:ascii="AytoRoquetas Light Condensed" w:hAnsi="AytoRoquetas Light Condensed" w:cs="Arial"/>
          <w:i/>
          <w:iCs/>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7F74C1D4"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3D3CE3F1" w14:textId="77777777" w:rsidR="00E07A0B" w:rsidRPr="000914C2" w:rsidRDefault="00E07A0B" w:rsidP="00B42515">
      <w:pPr>
        <w:spacing w:line="288" w:lineRule="auto"/>
        <w:ind w:firstLine="720"/>
        <w:contextualSpacing/>
        <w:jc w:val="both"/>
        <w:rPr>
          <w:rFonts w:ascii="AytoRoquetas Light Condensed" w:hAnsi="AytoRoquetas Light Condensed" w:cs="Arial"/>
          <w:i/>
          <w:iCs/>
        </w:rPr>
      </w:pPr>
      <w:r>
        <w:rPr>
          <w:rFonts w:ascii="AytoRoquetas Light Condensed" w:hAnsi="AytoRoquetas Light Condensed" w:cs="Arial"/>
          <w:b/>
          <w:bCs/>
          <w:i/>
          <w:iCs/>
        </w:rPr>
        <w:t>QUINTO</w:t>
      </w:r>
      <w:r w:rsidRPr="000914C2">
        <w:rPr>
          <w:rFonts w:ascii="AytoRoquetas Light Condensed" w:hAnsi="AytoRoquetas Light Condensed" w:cs="Arial"/>
          <w:b/>
          <w:bCs/>
          <w:i/>
          <w:iCs/>
        </w:rPr>
        <w:t>.</w:t>
      </w:r>
      <w:r w:rsidRPr="000914C2">
        <w:rPr>
          <w:rFonts w:ascii="AytoRoquetas Light Condensed" w:hAnsi="AytoRoquetas Light Condensed" w:cs="Arial"/>
          <w:i/>
          <w:iCs/>
        </w:rPr>
        <w:t xml:space="preserve"> Las cuentas anuales que integran la Cuenta de la propia entidad son las siguientes:</w:t>
      </w:r>
    </w:p>
    <w:p w14:paraId="64016D30" w14:textId="77777777" w:rsidR="00E07A0B" w:rsidRPr="000914C2" w:rsidRDefault="00E07A0B" w:rsidP="00B42515">
      <w:pPr>
        <w:spacing w:line="288" w:lineRule="auto"/>
        <w:ind w:left="851"/>
        <w:contextualSpacing/>
        <w:jc w:val="both"/>
        <w:rPr>
          <w:rFonts w:ascii="AytoRoquetas Light Condensed" w:hAnsi="AytoRoquetas Light Condensed" w:cs="Arial"/>
          <w:i/>
          <w:iCs/>
        </w:rPr>
      </w:pPr>
      <w:r w:rsidRPr="000914C2">
        <w:rPr>
          <w:rFonts w:ascii="AytoRoquetas Light Condensed" w:hAnsi="AytoRoquetas Light Condensed" w:cs="Arial"/>
          <w:i/>
          <w:iCs/>
        </w:rPr>
        <w:t>a) El Balance.</w:t>
      </w:r>
    </w:p>
    <w:p w14:paraId="25C6C612" w14:textId="77777777" w:rsidR="00E07A0B" w:rsidRPr="000914C2" w:rsidRDefault="00E07A0B" w:rsidP="00B42515">
      <w:pPr>
        <w:spacing w:line="288" w:lineRule="auto"/>
        <w:ind w:left="851"/>
        <w:contextualSpacing/>
        <w:jc w:val="both"/>
        <w:rPr>
          <w:rFonts w:ascii="AytoRoquetas Light Condensed" w:hAnsi="AytoRoquetas Light Condensed" w:cs="Arial"/>
          <w:i/>
          <w:iCs/>
        </w:rPr>
      </w:pPr>
      <w:r w:rsidRPr="000914C2">
        <w:rPr>
          <w:rFonts w:ascii="AytoRoquetas Light Condensed" w:hAnsi="AytoRoquetas Light Condensed" w:cs="Arial"/>
          <w:i/>
          <w:iCs/>
        </w:rPr>
        <w:t>b) La Cuenta del resultado económico-patrimonial.</w:t>
      </w:r>
    </w:p>
    <w:p w14:paraId="55A96F23" w14:textId="77777777" w:rsidR="00E07A0B" w:rsidRPr="000914C2" w:rsidRDefault="00E07A0B" w:rsidP="00B42515">
      <w:pPr>
        <w:spacing w:line="288" w:lineRule="auto"/>
        <w:ind w:left="851"/>
        <w:contextualSpacing/>
        <w:jc w:val="both"/>
        <w:rPr>
          <w:rFonts w:ascii="AytoRoquetas Light Condensed" w:hAnsi="AytoRoquetas Light Condensed" w:cs="Arial"/>
          <w:i/>
          <w:iCs/>
        </w:rPr>
      </w:pPr>
      <w:r w:rsidRPr="000914C2">
        <w:rPr>
          <w:rFonts w:ascii="AytoRoquetas Light Condensed" w:hAnsi="AytoRoquetas Light Condensed" w:cs="Arial"/>
          <w:i/>
          <w:iCs/>
        </w:rPr>
        <w:t>c) El Estado de cambios en el patrimonio neto.</w:t>
      </w:r>
    </w:p>
    <w:p w14:paraId="6019804F" w14:textId="77777777" w:rsidR="00E07A0B" w:rsidRPr="000914C2" w:rsidRDefault="00E07A0B" w:rsidP="00B42515">
      <w:pPr>
        <w:spacing w:line="288" w:lineRule="auto"/>
        <w:ind w:left="851"/>
        <w:contextualSpacing/>
        <w:jc w:val="both"/>
        <w:rPr>
          <w:rFonts w:ascii="AytoRoquetas Light Condensed" w:hAnsi="AytoRoquetas Light Condensed" w:cs="Arial"/>
          <w:i/>
          <w:iCs/>
        </w:rPr>
      </w:pPr>
      <w:r w:rsidRPr="000914C2">
        <w:rPr>
          <w:rFonts w:ascii="AytoRoquetas Light Condensed" w:hAnsi="AytoRoquetas Light Condensed" w:cs="Arial"/>
          <w:i/>
          <w:iCs/>
        </w:rPr>
        <w:t>d) El Estado de flujos de efectivo.</w:t>
      </w:r>
    </w:p>
    <w:p w14:paraId="4D5C346F" w14:textId="77777777" w:rsidR="00E07A0B" w:rsidRPr="000914C2" w:rsidRDefault="00E07A0B" w:rsidP="00B42515">
      <w:pPr>
        <w:spacing w:line="288" w:lineRule="auto"/>
        <w:ind w:left="851"/>
        <w:contextualSpacing/>
        <w:jc w:val="both"/>
        <w:rPr>
          <w:rFonts w:ascii="AytoRoquetas Light Condensed" w:hAnsi="AytoRoquetas Light Condensed" w:cs="Arial"/>
          <w:i/>
          <w:iCs/>
        </w:rPr>
      </w:pPr>
      <w:r w:rsidRPr="000914C2">
        <w:rPr>
          <w:rFonts w:ascii="AytoRoquetas Light Condensed" w:hAnsi="AytoRoquetas Light Condensed" w:cs="Arial"/>
          <w:i/>
          <w:iCs/>
        </w:rPr>
        <w:t>e) El Estado de Liquidación del Presupuesto.</w:t>
      </w:r>
    </w:p>
    <w:p w14:paraId="65546914" w14:textId="77777777" w:rsidR="00E07A0B" w:rsidRPr="000914C2" w:rsidRDefault="00E07A0B" w:rsidP="00B42515">
      <w:pPr>
        <w:spacing w:line="288" w:lineRule="auto"/>
        <w:ind w:left="851"/>
        <w:contextualSpacing/>
        <w:jc w:val="both"/>
        <w:rPr>
          <w:rFonts w:ascii="AytoRoquetas Light Condensed" w:hAnsi="AytoRoquetas Light Condensed" w:cs="Arial"/>
          <w:i/>
          <w:iCs/>
        </w:rPr>
      </w:pPr>
      <w:r w:rsidRPr="000914C2">
        <w:rPr>
          <w:rFonts w:ascii="AytoRoquetas Light Condensed" w:hAnsi="AytoRoquetas Light Condensed" w:cs="Arial"/>
          <w:i/>
          <w:iCs/>
        </w:rPr>
        <w:t>f) La Memoria.</w:t>
      </w:r>
    </w:p>
    <w:p w14:paraId="72500D8A"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042448D8" w14:textId="77777777" w:rsidR="00E07A0B" w:rsidRPr="000914C2" w:rsidRDefault="00E07A0B" w:rsidP="00B42515">
      <w:pPr>
        <w:spacing w:line="288" w:lineRule="auto"/>
        <w:contextualSpacing/>
        <w:jc w:val="both"/>
        <w:rPr>
          <w:rFonts w:ascii="AytoRoquetas Light Condensed" w:hAnsi="AytoRoquetas Light Condensed" w:cs="Arial"/>
          <w:i/>
          <w:iCs/>
        </w:rPr>
      </w:pPr>
      <w:r w:rsidRPr="000914C2">
        <w:rPr>
          <w:rFonts w:ascii="AytoRoquetas Light Condensed" w:hAnsi="AytoRoquetas Light Condensed" w:cs="Arial"/>
          <w:i/>
          <w:iCs/>
        </w:rPr>
        <w:t>A las cuentas anuales del Consorcio deberá unirse la siguiente documentación:</w:t>
      </w:r>
    </w:p>
    <w:p w14:paraId="7F0B348C"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6BEBD3E5" w14:textId="77777777" w:rsidR="00E07A0B" w:rsidRPr="000914C2" w:rsidRDefault="00E07A0B" w:rsidP="00B42515">
      <w:pPr>
        <w:pStyle w:val="Prrafodelista"/>
        <w:numPr>
          <w:ilvl w:val="0"/>
          <w:numId w:val="6"/>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 xml:space="preserve">Actas de arqueo de las existencias en Caja referidas a fin de ejercicio. </w:t>
      </w:r>
    </w:p>
    <w:p w14:paraId="512CEDE7"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43AF9E8B" w14:textId="77777777" w:rsidR="00E07A0B" w:rsidRPr="000914C2" w:rsidRDefault="00E07A0B" w:rsidP="00B42515">
      <w:pPr>
        <w:spacing w:line="288" w:lineRule="auto"/>
        <w:contextualSpacing/>
        <w:jc w:val="both"/>
        <w:rPr>
          <w:rFonts w:ascii="AytoRoquetas Light Condensed" w:hAnsi="AytoRoquetas Light Condensed" w:cs="Arial"/>
          <w:i/>
          <w:iCs/>
        </w:rPr>
      </w:pPr>
      <w:r w:rsidRPr="000914C2">
        <w:rPr>
          <w:rFonts w:ascii="AytoRoquetas Light Condensed" w:hAnsi="AytoRoquetas Light Condensed" w:cs="Arial"/>
          <w:i/>
          <w:iCs/>
        </w:rPr>
        <w:tab/>
        <w:t>El Acta de arqueo sólo ha de incluir las existencias en Caja a fin de ejercicio, y su comprobación con los datos que arroja la contabilidad. No forman parte del Acta de Arqueo las existencias en cuentas abiertas en entidades de crédito.</w:t>
      </w:r>
    </w:p>
    <w:p w14:paraId="43621C5A" w14:textId="77777777" w:rsidR="00E07A0B" w:rsidRPr="000914C2" w:rsidRDefault="00E07A0B" w:rsidP="00B42515">
      <w:pPr>
        <w:spacing w:line="288" w:lineRule="auto"/>
        <w:contextualSpacing/>
        <w:jc w:val="both"/>
        <w:rPr>
          <w:rFonts w:ascii="AytoRoquetas Light Condensed" w:hAnsi="AytoRoquetas Light Condensed" w:cs="Arial"/>
          <w:i/>
          <w:iCs/>
        </w:rPr>
      </w:pPr>
      <w:r w:rsidRPr="000914C2">
        <w:rPr>
          <w:rFonts w:ascii="AytoRoquetas Light Condensed" w:hAnsi="AytoRoquetas Light Condensed" w:cs="Arial"/>
          <w:i/>
          <w:iCs/>
        </w:rPr>
        <w:tab/>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25E68B14"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187244B3" w14:textId="77777777" w:rsidR="00E07A0B" w:rsidRPr="000914C2" w:rsidRDefault="00E07A0B" w:rsidP="00B42515">
      <w:pPr>
        <w:spacing w:line="288" w:lineRule="auto"/>
        <w:ind w:firstLine="720"/>
        <w:contextualSpacing/>
        <w:jc w:val="both"/>
        <w:rPr>
          <w:rFonts w:ascii="AytoRoquetas Light Condensed" w:hAnsi="AytoRoquetas Light Condensed" w:cs="Arial"/>
          <w:i/>
          <w:iCs/>
        </w:rPr>
      </w:pPr>
      <w:r>
        <w:rPr>
          <w:rFonts w:ascii="AytoRoquetas Light Condensed" w:hAnsi="AytoRoquetas Light Condensed" w:cs="Arial"/>
          <w:b/>
          <w:bCs/>
          <w:i/>
          <w:iCs/>
        </w:rPr>
        <w:t>SEXTO</w:t>
      </w:r>
      <w:r w:rsidRPr="000914C2">
        <w:rPr>
          <w:rFonts w:ascii="AytoRoquetas Light Condensed" w:hAnsi="AytoRoquetas Light Condensed" w:cs="Arial"/>
          <w:b/>
          <w:bCs/>
          <w:i/>
          <w:iCs/>
        </w:rPr>
        <w:t>.</w:t>
      </w:r>
      <w:r w:rsidRPr="000914C2">
        <w:rPr>
          <w:rFonts w:ascii="AytoRoquetas Light Condensed" w:hAnsi="AytoRoquetas Light Condensed" w:cs="Arial"/>
          <w:i/>
          <w:iCs/>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72C256F9" w14:textId="77777777" w:rsidR="00E07A0B" w:rsidRPr="000914C2" w:rsidRDefault="00E07A0B" w:rsidP="00B42515">
      <w:pPr>
        <w:pStyle w:val="Prrafodelista"/>
        <w:spacing w:before="0" w:after="0" w:line="288" w:lineRule="auto"/>
        <w:ind w:left="0"/>
        <w:rPr>
          <w:rFonts w:ascii="AytoRoquetas Light Condensed" w:hAnsi="AytoRoquetas Light Condensed" w:cs="Arial"/>
          <w:i/>
          <w:iCs/>
          <w:sz w:val="22"/>
        </w:rPr>
      </w:pPr>
    </w:p>
    <w:p w14:paraId="248F8765" w14:textId="77777777" w:rsidR="00E07A0B" w:rsidRPr="000914C2" w:rsidRDefault="00E07A0B" w:rsidP="00B42515">
      <w:pPr>
        <w:spacing w:line="288" w:lineRule="auto"/>
        <w:ind w:firstLine="720"/>
        <w:contextualSpacing/>
        <w:jc w:val="both"/>
        <w:rPr>
          <w:rFonts w:ascii="AytoRoquetas Light Condensed" w:hAnsi="AytoRoquetas Light Condensed" w:cs="Arial"/>
          <w:i/>
          <w:iCs/>
        </w:rPr>
      </w:pPr>
      <w:r>
        <w:rPr>
          <w:rFonts w:ascii="AytoRoquetas Light Condensed" w:hAnsi="AytoRoquetas Light Condensed" w:cs="Arial"/>
          <w:b/>
          <w:i/>
          <w:iCs/>
        </w:rPr>
        <w:t>SEPTIMO</w:t>
      </w:r>
      <w:r w:rsidRPr="000914C2">
        <w:rPr>
          <w:rFonts w:ascii="AytoRoquetas Light Condensed" w:hAnsi="AytoRoquetas Light Condensed" w:cs="Arial"/>
          <w:b/>
          <w:i/>
          <w:iCs/>
        </w:rPr>
        <w:t>.</w:t>
      </w:r>
      <w:r w:rsidRPr="000914C2">
        <w:rPr>
          <w:rFonts w:ascii="AytoRoquetas Light Condensed" w:hAnsi="AytoRoquetas Light Condensed" w:cs="Arial"/>
          <w:i/>
          <w:iCs/>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3149E7C3"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7B4CF4E9" w14:textId="77777777" w:rsidR="00E07A0B" w:rsidRPr="000914C2" w:rsidRDefault="00E07A0B" w:rsidP="00B42515">
      <w:pPr>
        <w:spacing w:line="288" w:lineRule="auto"/>
        <w:ind w:firstLine="1134"/>
        <w:contextualSpacing/>
        <w:jc w:val="both"/>
        <w:rPr>
          <w:rFonts w:ascii="AytoRoquetas Light Condensed" w:hAnsi="AytoRoquetas Light Condensed" w:cs="Arial"/>
          <w:i/>
          <w:iCs/>
        </w:rPr>
      </w:pPr>
      <w:r w:rsidRPr="000914C2">
        <w:rPr>
          <w:rFonts w:ascii="AytoRoquetas Light Condensed" w:hAnsi="AytoRoquetas Light Condensed" w:cs="Arial"/>
          <w:i/>
          <w:iC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sidRPr="000914C2">
        <w:rPr>
          <w:rFonts w:ascii="AytoRoquetas Light Condensed" w:hAnsi="AytoRoquetas Light Condensed" w:cs="Arial"/>
          <w:b/>
          <w:bCs/>
          <w:i/>
          <w:iCs/>
        </w:rPr>
        <w:t xml:space="preserve">  </w:t>
      </w:r>
      <w:r w:rsidRPr="000914C2">
        <w:rPr>
          <w:rFonts w:ascii="AytoRoquetas Light Condensed" w:hAnsi="AytoRoquetas Light Condensed" w:cs="Arial"/>
          <w:i/>
          <w:iCs/>
        </w:rPr>
        <w:t>Se deberá remitir una vez aprobada definitivamente la Cuenta General del Consorcio al Ayuntamiento de Roquetas de Mar, para completar y remitir a la Cámara de Cuentas.</w:t>
      </w:r>
    </w:p>
    <w:p w14:paraId="525C7D03"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4134CB5C" w14:textId="77777777" w:rsidR="00E07A0B" w:rsidRPr="000914C2" w:rsidRDefault="00E07A0B" w:rsidP="00B42515">
      <w:pPr>
        <w:spacing w:line="288" w:lineRule="auto"/>
        <w:ind w:firstLine="720"/>
        <w:contextualSpacing/>
        <w:jc w:val="both"/>
        <w:rPr>
          <w:rFonts w:ascii="AytoRoquetas Light Condensed" w:hAnsi="AytoRoquetas Light Condensed" w:cs="Arial"/>
          <w:i/>
          <w:iCs/>
        </w:rPr>
      </w:pPr>
      <w:r>
        <w:rPr>
          <w:rFonts w:ascii="AytoRoquetas Light Condensed" w:hAnsi="AytoRoquetas Light Condensed" w:cs="Arial"/>
          <w:b/>
          <w:i/>
          <w:iCs/>
        </w:rPr>
        <w:t>OCTAVO</w:t>
      </w:r>
      <w:r w:rsidRPr="000914C2">
        <w:rPr>
          <w:rFonts w:ascii="AytoRoquetas Light Condensed" w:hAnsi="AytoRoquetas Light Condensed" w:cs="Arial"/>
          <w:b/>
          <w:i/>
          <w:iCs/>
        </w:rPr>
        <w:t>.</w:t>
      </w:r>
      <w:r w:rsidRPr="000914C2">
        <w:rPr>
          <w:rFonts w:ascii="AytoRoquetas Light Condensed" w:hAnsi="AytoRoquetas Light Condensed" w:cs="Arial"/>
          <w:i/>
          <w:iCs/>
        </w:rPr>
        <w:t xml:space="preserve"> Una vez formada y analizada la Cuenta General del ejercicio 2021, se procede al análisis y evaluación de las conclusiones y recomendaciones, de forma que se lleve a cabo una planificación del trabajo a realizar para implementar dichas recomendaciones.</w:t>
      </w:r>
    </w:p>
    <w:p w14:paraId="216A5826" w14:textId="77777777" w:rsidR="00E07A0B" w:rsidRPr="000914C2" w:rsidRDefault="00E07A0B" w:rsidP="00B42515">
      <w:pPr>
        <w:pStyle w:val="Prrafodelista"/>
        <w:numPr>
          <w:ilvl w:val="0"/>
          <w:numId w:val="7"/>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 xml:space="preserve">El Consorcio deberán remitir al Ayuntamiento de Roquetas de Mar una vez aprobada la Cuenta General para su incorporación y remisión a la Cámara de Cuentas- </w:t>
      </w:r>
    </w:p>
    <w:p w14:paraId="07C46779" w14:textId="77777777" w:rsidR="00E07A0B" w:rsidRPr="000914C2" w:rsidRDefault="00E07A0B" w:rsidP="00B42515">
      <w:pPr>
        <w:pStyle w:val="Prrafodelista"/>
        <w:numPr>
          <w:ilvl w:val="0"/>
          <w:numId w:val="7"/>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14C2533E" w14:textId="77777777" w:rsidR="00E07A0B" w:rsidRPr="000914C2" w:rsidRDefault="00E07A0B" w:rsidP="00B42515">
      <w:pPr>
        <w:pStyle w:val="Prrafodelista"/>
        <w:numPr>
          <w:ilvl w:val="0"/>
          <w:numId w:val="7"/>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 xml:space="preserve">El Consorcio no dispone de un inventario de bienes, lo cual impide un adecuado registro contable del área de inmovilizado, al no poderse identificar, ni valorar gran parte del patrimonio que posee el Consorcio. </w:t>
      </w:r>
    </w:p>
    <w:p w14:paraId="7E003388" w14:textId="77777777" w:rsidR="00E07A0B" w:rsidRPr="000914C2" w:rsidRDefault="00E07A0B" w:rsidP="00B42515">
      <w:pPr>
        <w:pStyle w:val="Prrafodelista"/>
        <w:numPr>
          <w:ilvl w:val="0"/>
          <w:numId w:val="7"/>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El Consorcio no posee más ingresos que los de carácter patrimonial procedentes del canon que las propias concesionarias abonan; sin embargo, si tiene ordenanzas de ingresos, que no están siendo aplicadas.</w:t>
      </w:r>
    </w:p>
    <w:p w14:paraId="68C5E995" w14:textId="77777777" w:rsidR="00E07A0B" w:rsidRPr="000914C2" w:rsidRDefault="00E07A0B" w:rsidP="00B42515">
      <w:pPr>
        <w:pStyle w:val="Prrafodelista"/>
        <w:numPr>
          <w:ilvl w:val="0"/>
          <w:numId w:val="7"/>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 xml:space="preserve">El Consorcio no dispone de más recursos humanos que los necesarios para prestar los servicios de Tesorería, Intervención y Secretaría, no disponiendo de otro personal que directa o indirectamente gestione el servicio púbico y efectúe el seguimiento y control de las concesionarias. Carece de sentido, en atención a los principios de eficacia y eficiencia del gasto público la creación de una Entidad que no posee recursos para cumplir con sus fines, por lo que se recomienda su transformación en Mancomunidad que preste los servicios de los tres Consorcios adscritos a este Ayuntamiento, tal como se recomienda mediante Decreto de 30 de junio de 2020, del Sr. </w:t>
      </w:r>
      <w:proofErr w:type="gramStart"/>
      <w:r w:rsidRPr="000914C2">
        <w:rPr>
          <w:rFonts w:ascii="AytoRoquetas Light Condensed" w:hAnsi="AytoRoquetas Light Condensed" w:cs="Arial"/>
          <w:i/>
          <w:iCs/>
          <w:sz w:val="22"/>
        </w:rPr>
        <w:t>Alcalde</w:t>
      </w:r>
      <w:proofErr w:type="gramEnd"/>
      <w:r w:rsidRPr="000914C2">
        <w:rPr>
          <w:rFonts w:ascii="AytoRoquetas Light Condensed" w:hAnsi="AytoRoquetas Light Condensed" w:cs="Arial"/>
          <w:i/>
          <w:iCs/>
          <w:sz w:val="22"/>
        </w:rPr>
        <w:t xml:space="preserve"> de Roquetas de Mar, notificado a los Presidentes de cada de los tres Consorcios. </w:t>
      </w:r>
    </w:p>
    <w:p w14:paraId="0B9ED8AA" w14:textId="77777777" w:rsidR="00E07A0B" w:rsidRPr="000914C2" w:rsidRDefault="00E07A0B" w:rsidP="00B42515">
      <w:pPr>
        <w:pStyle w:val="Prrafodelista"/>
        <w:spacing w:before="0" w:after="0" w:line="288" w:lineRule="auto"/>
        <w:ind w:left="0"/>
        <w:rPr>
          <w:rFonts w:ascii="AytoRoquetas Light Condensed" w:hAnsi="AytoRoquetas Light Condensed" w:cs="Arial"/>
          <w:i/>
          <w:iCs/>
          <w:sz w:val="22"/>
        </w:rPr>
      </w:pPr>
    </w:p>
    <w:p w14:paraId="67EABBEF" w14:textId="77777777" w:rsidR="00E07A0B" w:rsidRPr="000914C2" w:rsidRDefault="00E07A0B" w:rsidP="00B42515">
      <w:pPr>
        <w:spacing w:line="288" w:lineRule="auto"/>
        <w:ind w:firstLine="1134"/>
        <w:contextualSpacing/>
        <w:jc w:val="both"/>
        <w:rPr>
          <w:rFonts w:ascii="AytoRoquetas Light Condensed" w:hAnsi="AytoRoquetas Light Condensed" w:cs="Arial"/>
          <w:i/>
          <w:iCs/>
        </w:rPr>
      </w:pPr>
      <w:r w:rsidRPr="000914C2">
        <w:rPr>
          <w:rFonts w:ascii="AytoRoquetas Light Condensed" w:hAnsi="AytoRoquetas Light Condensed" w:cs="Arial"/>
          <w:i/>
          <w:iC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3338B949"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2228E9DB" w14:textId="77777777" w:rsidR="00E07A0B" w:rsidRPr="000914C2" w:rsidRDefault="00E07A0B" w:rsidP="00B42515">
      <w:pPr>
        <w:spacing w:line="288" w:lineRule="auto"/>
        <w:ind w:firstLine="1134"/>
        <w:contextualSpacing/>
        <w:jc w:val="both"/>
        <w:rPr>
          <w:rFonts w:ascii="AytoRoquetas Light Condensed" w:hAnsi="AytoRoquetas Light Condensed" w:cs="Arial"/>
          <w:i/>
          <w:iCs/>
        </w:rPr>
      </w:pPr>
      <w:r w:rsidRPr="000914C2">
        <w:rPr>
          <w:rFonts w:ascii="AytoRoquetas Light Condensed" w:hAnsi="AytoRoquetas Light Condensed" w:cs="Arial"/>
          <w:i/>
          <w:iCs/>
        </w:rPr>
        <w:t>Asimismo, es necesario concluir:</w:t>
      </w:r>
    </w:p>
    <w:p w14:paraId="16A04337"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1D3F417E" w14:textId="77777777" w:rsidR="00E07A0B" w:rsidRPr="000914C2" w:rsidRDefault="00E07A0B" w:rsidP="00B42515">
      <w:pPr>
        <w:pStyle w:val="Prrafodelista"/>
        <w:numPr>
          <w:ilvl w:val="0"/>
          <w:numId w:val="5"/>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Que se remiten todos los Estados Contables y la documentación complementaria exigidas por la normativa vigente.</w:t>
      </w:r>
    </w:p>
    <w:p w14:paraId="1EC02E35" w14:textId="77777777" w:rsidR="00E07A0B" w:rsidRPr="000914C2" w:rsidRDefault="00E07A0B" w:rsidP="00B42515">
      <w:pPr>
        <w:pStyle w:val="Prrafodelista"/>
        <w:numPr>
          <w:ilvl w:val="0"/>
          <w:numId w:val="5"/>
        </w:numPr>
        <w:spacing w:before="0" w:after="0" w:line="288" w:lineRule="auto"/>
        <w:ind w:left="0" w:firstLine="0"/>
        <w:rPr>
          <w:rFonts w:ascii="AytoRoquetas Light Condensed" w:hAnsi="AytoRoquetas Light Condensed" w:cs="Arial"/>
          <w:i/>
          <w:iCs/>
          <w:sz w:val="22"/>
        </w:rPr>
      </w:pPr>
      <w:r w:rsidRPr="000914C2">
        <w:rPr>
          <w:rFonts w:ascii="AytoRoquetas Light Condensed" w:hAnsi="AytoRoquetas Light Condensed" w:cs="Arial"/>
          <w:i/>
          <w:iCs/>
          <w:sz w:val="22"/>
        </w:rPr>
        <w:t>Que los expedientes, documentos y libros mencionados en el Título II de la Instrucción de Contabilidad se encuentran a disposición del Tribunal de Cuentas.</w:t>
      </w:r>
    </w:p>
    <w:p w14:paraId="4DB959E8"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5ABAEB07" w14:textId="77777777" w:rsidR="00E07A0B" w:rsidRPr="0052572F" w:rsidRDefault="00E07A0B" w:rsidP="00B42515">
      <w:pPr>
        <w:spacing w:line="288" w:lineRule="auto"/>
        <w:ind w:firstLine="1134"/>
        <w:contextualSpacing/>
        <w:jc w:val="both"/>
        <w:rPr>
          <w:rFonts w:ascii="AytoRoquetas Light Condensed" w:hAnsi="AytoRoquetas Light Condensed" w:cs="Arial"/>
          <w:i/>
          <w:iCs/>
        </w:rPr>
      </w:pPr>
      <w:r w:rsidRPr="0052572F">
        <w:rPr>
          <w:rFonts w:ascii="AytoRoquetas Light Condensed" w:hAnsi="AytoRoquetas Light Condensed" w:cs="Arial"/>
          <w:i/>
          <w:iCs/>
        </w:rPr>
        <w:t xml:space="preserve">En virtud de todo lo expuesto en este Informe, </w:t>
      </w:r>
      <w:r w:rsidRPr="0052572F">
        <w:rPr>
          <w:rFonts w:ascii="AytoRoquetas Light Condensed" w:hAnsi="AytoRoquetas Light Condensed" w:cs="Arial"/>
          <w:i/>
          <w:iCs/>
          <w:u w:val="single"/>
        </w:rPr>
        <w:t>procede tramitar las Cuenta General del Consorcio correspondientes al ejercicio 2021</w:t>
      </w:r>
      <w:r w:rsidRPr="0052572F">
        <w:rPr>
          <w:rFonts w:ascii="AytoRoquetas Light Condensed" w:hAnsi="AytoRoquetas Light Condensed" w:cs="Arial"/>
          <w:i/>
          <w:iCs/>
        </w:rPr>
        <w:t>.</w:t>
      </w:r>
    </w:p>
    <w:p w14:paraId="4FD74BE6" w14:textId="77777777" w:rsidR="00E07A0B" w:rsidRPr="000914C2" w:rsidRDefault="00E07A0B" w:rsidP="00B42515">
      <w:pPr>
        <w:spacing w:line="288" w:lineRule="auto"/>
        <w:contextualSpacing/>
        <w:jc w:val="both"/>
        <w:rPr>
          <w:rFonts w:ascii="AytoRoquetas Light Condensed" w:hAnsi="AytoRoquetas Light Condensed" w:cs="Arial"/>
          <w:i/>
          <w:iCs/>
        </w:rPr>
      </w:pPr>
    </w:p>
    <w:p w14:paraId="1187A706" w14:textId="77777777" w:rsidR="00E07A0B" w:rsidRPr="000914C2" w:rsidRDefault="00E07A0B" w:rsidP="00B42515">
      <w:pPr>
        <w:spacing w:line="288" w:lineRule="auto"/>
        <w:ind w:firstLine="1134"/>
        <w:contextualSpacing/>
        <w:jc w:val="both"/>
        <w:rPr>
          <w:rFonts w:ascii="AytoRoquetas Light Condensed" w:hAnsi="AytoRoquetas Light Condensed" w:cs="Arial"/>
          <w:i/>
          <w:iCs/>
        </w:rPr>
      </w:pPr>
      <w:r w:rsidRPr="000914C2">
        <w:rPr>
          <w:rFonts w:ascii="AytoRoquetas Light Condensed" w:hAnsi="AytoRoquetas Light Condensed" w:cs="Arial"/>
          <w:i/>
          <w:iCs/>
        </w:rPr>
        <w:t>Es cuanto tengo el honor de informar, sin perjuicio de cualquier otra consideración mejor fundada en derecho.”</w:t>
      </w:r>
    </w:p>
    <w:p w14:paraId="1C1F5D4F" w14:textId="77777777" w:rsidR="00E07A0B" w:rsidRDefault="00E07A0B" w:rsidP="00B42515">
      <w:pPr>
        <w:spacing w:line="288" w:lineRule="auto"/>
        <w:contextualSpacing/>
        <w:jc w:val="both"/>
        <w:rPr>
          <w:rFonts w:ascii="AytoRoquetas Light Condensed" w:hAnsi="AytoRoquetas Light Condensed" w:cs="Frutiger-LightCn"/>
          <w:szCs w:val="20"/>
        </w:rPr>
      </w:pPr>
    </w:p>
    <w:p w14:paraId="7A4B6827" w14:textId="77777777" w:rsidR="00E07A0B" w:rsidRPr="006E4E79" w:rsidRDefault="00E07A0B" w:rsidP="00B42515">
      <w:pPr>
        <w:pStyle w:val="Formatolibre"/>
        <w:spacing w:line="288" w:lineRule="auto"/>
        <w:contextualSpacing/>
        <w:jc w:val="both"/>
        <w:rPr>
          <w:rFonts w:ascii="AytoRoquetas Light Condensed" w:hAnsi="AytoRoquetas Light Condensed" w:cs="Arial"/>
          <w:bCs/>
          <w:color w:val="auto"/>
          <w:sz w:val="22"/>
          <w:szCs w:val="18"/>
          <w:lang w:val="es-ES"/>
        </w:rPr>
      </w:pPr>
      <w:r>
        <w:rPr>
          <w:rFonts w:ascii="AytoRoquetas Light Condensed" w:hAnsi="AytoRoquetas Light Condensed" w:cs="Arial"/>
          <w:bCs/>
          <w:color w:val="auto"/>
          <w:sz w:val="22"/>
          <w:szCs w:val="18"/>
          <w:lang w:val="es-ES"/>
        </w:rPr>
        <w:tab/>
        <w:t xml:space="preserve">Tras una breve intervención de </w:t>
      </w:r>
      <w:r w:rsidRPr="006E4E79">
        <w:rPr>
          <w:rFonts w:ascii="AytoRoquetas Light Condensed" w:hAnsi="AytoRoquetas Light Condensed" w:cs="Arial"/>
          <w:bCs/>
          <w:color w:val="auto"/>
          <w:sz w:val="22"/>
          <w:szCs w:val="18"/>
          <w:lang w:val="es-ES"/>
        </w:rPr>
        <w:t>la Sra. Interventora del Consorcio para explicar el contenido de</w:t>
      </w:r>
      <w:r>
        <w:rPr>
          <w:rFonts w:ascii="AytoRoquetas Light Condensed" w:hAnsi="AytoRoquetas Light Condensed" w:cs="Arial"/>
          <w:bCs/>
          <w:color w:val="auto"/>
          <w:sz w:val="22"/>
          <w:szCs w:val="18"/>
          <w:lang w:val="es-ES"/>
        </w:rPr>
        <w:t xml:space="preserve"> </w:t>
      </w:r>
      <w:r w:rsidRPr="006E4E79">
        <w:rPr>
          <w:rFonts w:ascii="AytoRoquetas Light Condensed" w:hAnsi="AytoRoquetas Light Condensed" w:cs="Arial"/>
          <w:bCs/>
          <w:color w:val="auto"/>
          <w:sz w:val="22"/>
          <w:szCs w:val="18"/>
          <w:lang w:val="es-ES"/>
        </w:rPr>
        <w:t>l</w:t>
      </w:r>
      <w:r>
        <w:rPr>
          <w:rFonts w:ascii="AytoRoquetas Light Condensed" w:hAnsi="AytoRoquetas Light Condensed" w:cs="Arial"/>
          <w:bCs/>
          <w:color w:val="auto"/>
          <w:sz w:val="22"/>
          <w:szCs w:val="18"/>
          <w:lang w:val="es-ES"/>
        </w:rPr>
        <w:t>a</w:t>
      </w:r>
      <w:r w:rsidRPr="006E4E79">
        <w:rPr>
          <w:rFonts w:ascii="AytoRoquetas Light Condensed" w:hAnsi="AytoRoquetas Light Condensed" w:cs="Arial"/>
          <w:bCs/>
          <w:color w:val="auto"/>
          <w:sz w:val="22"/>
          <w:szCs w:val="18"/>
          <w:lang w:val="es-ES"/>
        </w:rPr>
        <w:t xml:space="preserve"> </w:t>
      </w:r>
      <w:r>
        <w:rPr>
          <w:rFonts w:ascii="AytoRoquetas Light Condensed" w:hAnsi="AytoRoquetas Light Condensed" w:cs="Arial"/>
          <w:bCs/>
          <w:color w:val="auto"/>
          <w:sz w:val="22"/>
          <w:szCs w:val="18"/>
          <w:lang w:val="es-ES"/>
        </w:rPr>
        <w:t>proposición,</w:t>
      </w:r>
    </w:p>
    <w:p w14:paraId="39E792CF" w14:textId="77777777" w:rsidR="00E07A0B" w:rsidRPr="000914C2" w:rsidRDefault="00E07A0B" w:rsidP="00B42515">
      <w:pPr>
        <w:spacing w:line="288" w:lineRule="auto"/>
        <w:contextualSpacing/>
        <w:jc w:val="both"/>
        <w:rPr>
          <w:rFonts w:ascii="AytoRoquetas Light Condensed" w:hAnsi="AytoRoquetas Light Condensed" w:cs="Frutiger-LightCn"/>
          <w:szCs w:val="20"/>
        </w:rPr>
      </w:pPr>
    </w:p>
    <w:p w14:paraId="03F7E5BF" w14:textId="77777777" w:rsidR="00E07A0B" w:rsidRPr="0052572F" w:rsidRDefault="00E07A0B" w:rsidP="00B42515">
      <w:pPr>
        <w:spacing w:line="288" w:lineRule="auto"/>
        <w:ind w:firstLine="1134"/>
        <w:contextualSpacing/>
        <w:jc w:val="both"/>
        <w:rPr>
          <w:rFonts w:ascii="AytoRoquetas Light Condensed" w:hAnsi="AytoRoquetas Light Condensed" w:cs="Frutiger-LightCn"/>
          <w:szCs w:val="20"/>
        </w:rPr>
      </w:pPr>
      <w:r w:rsidRPr="0052572F">
        <w:rPr>
          <w:rFonts w:ascii="AytoRoquetas Light Condensed" w:hAnsi="AytoRoquetas Light Condensed" w:cs="Frutiger-LightCn"/>
          <w:szCs w:val="20"/>
        </w:rPr>
        <w:t xml:space="preserve">La </w:t>
      </w:r>
      <w:r w:rsidRPr="0052572F">
        <w:rPr>
          <w:rFonts w:ascii="AytoRoquetas Light Condensed" w:hAnsi="AytoRoquetas Light Condensed" w:cs="Frutiger-LightCn,Bold"/>
          <w:szCs w:val="20"/>
        </w:rPr>
        <w:t xml:space="preserve">JUNTA GENERAL </w:t>
      </w:r>
      <w:r w:rsidRPr="0052572F">
        <w:rPr>
          <w:rFonts w:ascii="AytoRoquetas Light Condensed" w:hAnsi="AytoRoquetas Light Condensed" w:cs="Frutiger-LightCn"/>
          <w:szCs w:val="20"/>
        </w:rPr>
        <w:t>una vez transcurrido el plazo de exposición pública y no habiéndose producido ninguna observación ni reclamación (BOP de Almería Núm. 8 de 13 de enero de 2023), ha resuelto por unanimidad de los miembros asistentes APROBAR la Cuenta General del ejercicio 2021.</w:t>
      </w:r>
    </w:p>
    <w:p w14:paraId="579B8CA4" w14:textId="77777777" w:rsidR="00BF57D9" w:rsidRDefault="00BF57D9" w:rsidP="00B42515">
      <w:pPr>
        <w:pStyle w:val="Default"/>
        <w:spacing w:line="288" w:lineRule="auto"/>
        <w:contextualSpacing/>
        <w:jc w:val="both"/>
        <w:rPr>
          <w:rFonts w:cs="Frutiger Light Condensed"/>
          <w:sz w:val="22"/>
          <w:szCs w:val="22"/>
        </w:rPr>
      </w:pPr>
    </w:p>
    <w:p w14:paraId="059F4B89" w14:textId="7A0CC982" w:rsidR="00BF57D9" w:rsidRPr="00BF57D9" w:rsidRDefault="00BF57D9" w:rsidP="00B42515">
      <w:pPr>
        <w:pStyle w:val="Default"/>
        <w:spacing w:line="288" w:lineRule="auto"/>
        <w:ind w:firstLine="1134"/>
        <w:contextualSpacing/>
        <w:jc w:val="both"/>
        <w:rPr>
          <w:b/>
          <w:bCs/>
          <w:sz w:val="22"/>
          <w:szCs w:val="22"/>
        </w:rPr>
      </w:pPr>
      <w:r w:rsidRPr="00BF57D9">
        <w:rPr>
          <w:rFonts w:cs="Frutiger Light Condensed"/>
          <w:b/>
          <w:bCs/>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1BAAC52A" w14:textId="77777777" w:rsidR="00BF57D9" w:rsidRDefault="00BF57D9" w:rsidP="00B42515">
      <w:pPr>
        <w:spacing w:after="0" w:line="288" w:lineRule="auto"/>
        <w:contextualSpacing/>
        <w:jc w:val="both"/>
        <w:rPr>
          <w:rFonts w:ascii="AytoRoquetas Light Condensed" w:hAnsi="AytoRoquetas Light Condensed"/>
          <w:szCs w:val="20"/>
        </w:rPr>
      </w:pPr>
    </w:p>
    <w:p w14:paraId="490F2BFD" w14:textId="056F58B5" w:rsidR="005D7CEB" w:rsidRPr="003D1143" w:rsidRDefault="00BF57D9" w:rsidP="00B42515">
      <w:pPr>
        <w:spacing w:after="0" w:line="240" w:lineRule="auto"/>
        <w:contextualSpacing/>
        <w:jc w:val="both"/>
        <w:rPr>
          <w:rFonts w:ascii="AytoRoquetas Light Condensed" w:hAnsi="AytoRoquetas Light Condensed"/>
          <w:i/>
          <w:iCs/>
        </w:rPr>
      </w:pPr>
      <w:r w:rsidRPr="003D1143">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5D7CEB" w:rsidRPr="003D1143">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AA095" w14:textId="77777777" w:rsidR="006223D7" w:rsidRDefault="006223D7">
      <w:pPr>
        <w:spacing w:after="0" w:line="240" w:lineRule="auto"/>
      </w:pPr>
      <w:r>
        <w:separator/>
      </w:r>
    </w:p>
  </w:endnote>
  <w:endnote w:type="continuationSeparator" w:id="0">
    <w:p w14:paraId="326AD16C" w14:textId="77777777" w:rsidR="006223D7" w:rsidRDefault="00622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ヒラギノ角ゴ Pro W3">
    <w:altName w:val="Times New Roman"/>
    <w:charset w:val="00"/>
    <w:family w:val="roman"/>
    <w:pitch w:val="default"/>
  </w:font>
  <w:font w:name="Frutiger-LightCn">
    <w:altName w:val="Calibri"/>
    <w:panose1 w:val="00000000000000000000"/>
    <w:charset w:val="00"/>
    <w:family w:val="swiss"/>
    <w:notTrueType/>
    <w:pitch w:val="default"/>
    <w:sig w:usb0="00000003" w:usb1="00000000" w:usb2="00000000" w:usb3="00000000" w:csb0="00000001" w:csb1="00000000"/>
  </w:font>
  <w:font w:name="Frutiger-LightCn,Bold">
    <w:altName w:val="Calibri"/>
    <w:panose1 w:val="00000000000000000000"/>
    <w:charset w:val="00"/>
    <w:family w:val="swiss"/>
    <w:notTrueType/>
    <w:pitch w:val="default"/>
    <w:sig w:usb0="00000003" w:usb1="00000000" w:usb2="00000000" w:usb3="00000000" w:csb0="00000001" w:csb1="00000000"/>
  </w:font>
  <w:font w:name="Frutiger Light Condensed">
    <w:altName w:val="Calibri"/>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A01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5739" w14:textId="77777777" w:rsidR="006223D7" w:rsidRDefault="006223D7">
      <w:pPr>
        <w:spacing w:after="0" w:line="240" w:lineRule="auto"/>
      </w:pPr>
      <w:r>
        <w:separator/>
      </w:r>
    </w:p>
  </w:footnote>
  <w:footnote w:type="continuationSeparator" w:id="0">
    <w:p w14:paraId="5990A986" w14:textId="77777777" w:rsidR="006223D7" w:rsidRDefault="00622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7323"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04BC689B" wp14:editId="4B05C345">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C689B"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7568022B"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37211A6A" wp14:editId="0BFF2103">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282083" w14:textId="77777777" w:rsidR="005D7CEB" w:rsidRDefault="005D7CEB">
    <w:pPr>
      <w:pStyle w:val="Encabezado28"/>
      <w:rPr>
        <w:rFonts w:ascii="AytoRoquetas Light Condensed" w:hAnsi="AytoRoquetas Light Condensed" w:cs="AytoRoquetas Light Condensed"/>
      </w:rPr>
    </w:pPr>
  </w:p>
  <w:p w14:paraId="487402DA"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7B60216"/>
    <w:lvl w:ilvl="0">
      <w:numFmt w:val="bullet"/>
      <w:lvlText w:val="*"/>
      <w:lvlJc w:val="left"/>
    </w:lvl>
  </w:abstractNum>
  <w:abstractNum w:abstractNumId="1" w15:restartNumberingAfterBreak="0">
    <w:nsid w:val="167D784B"/>
    <w:multiLevelType w:val="hybridMultilevel"/>
    <w:tmpl w:val="FD4C16E8"/>
    <w:lvl w:ilvl="0" w:tplc="3648E63A">
      <w:start w:val="1"/>
      <w:numFmt w:val="lowerLetter"/>
      <w:lvlText w:val="%1)"/>
      <w:lvlJc w:val="left"/>
      <w:pPr>
        <w:ind w:left="6314" w:hanging="360"/>
      </w:pPr>
      <w:rPr>
        <w:rFonts w:hint="default"/>
      </w:rPr>
    </w:lvl>
    <w:lvl w:ilvl="1" w:tplc="0C0A0019" w:tentative="1">
      <w:start w:val="1"/>
      <w:numFmt w:val="lowerLetter"/>
      <w:lvlText w:val="%2."/>
      <w:lvlJc w:val="left"/>
      <w:pPr>
        <w:ind w:left="7034" w:hanging="360"/>
      </w:pPr>
    </w:lvl>
    <w:lvl w:ilvl="2" w:tplc="0C0A001B" w:tentative="1">
      <w:start w:val="1"/>
      <w:numFmt w:val="lowerRoman"/>
      <w:lvlText w:val="%3."/>
      <w:lvlJc w:val="right"/>
      <w:pPr>
        <w:ind w:left="7754" w:hanging="180"/>
      </w:pPr>
    </w:lvl>
    <w:lvl w:ilvl="3" w:tplc="0C0A000F" w:tentative="1">
      <w:start w:val="1"/>
      <w:numFmt w:val="decimal"/>
      <w:lvlText w:val="%4."/>
      <w:lvlJc w:val="left"/>
      <w:pPr>
        <w:ind w:left="8474" w:hanging="360"/>
      </w:pPr>
    </w:lvl>
    <w:lvl w:ilvl="4" w:tplc="0C0A0019" w:tentative="1">
      <w:start w:val="1"/>
      <w:numFmt w:val="lowerLetter"/>
      <w:lvlText w:val="%5."/>
      <w:lvlJc w:val="left"/>
      <w:pPr>
        <w:ind w:left="9194" w:hanging="360"/>
      </w:pPr>
    </w:lvl>
    <w:lvl w:ilvl="5" w:tplc="0C0A001B" w:tentative="1">
      <w:start w:val="1"/>
      <w:numFmt w:val="lowerRoman"/>
      <w:lvlText w:val="%6."/>
      <w:lvlJc w:val="right"/>
      <w:pPr>
        <w:ind w:left="9914" w:hanging="180"/>
      </w:pPr>
    </w:lvl>
    <w:lvl w:ilvl="6" w:tplc="0C0A000F" w:tentative="1">
      <w:start w:val="1"/>
      <w:numFmt w:val="decimal"/>
      <w:lvlText w:val="%7."/>
      <w:lvlJc w:val="left"/>
      <w:pPr>
        <w:ind w:left="10634" w:hanging="360"/>
      </w:pPr>
    </w:lvl>
    <w:lvl w:ilvl="7" w:tplc="0C0A0019" w:tentative="1">
      <w:start w:val="1"/>
      <w:numFmt w:val="lowerLetter"/>
      <w:lvlText w:val="%8."/>
      <w:lvlJc w:val="left"/>
      <w:pPr>
        <w:ind w:left="11354" w:hanging="360"/>
      </w:pPr>
    </w:lvl>
    <w:lvl w:ilvl="8" w:tplc="0C0A001B" w:tentative="1">
      <w:start w:val="1"/>
      <w:numFmt w:val="lowerRoman"/>
      <w:lvlText w:val="%9."/>
      <w:lvlJc w:val="right"/>
      <w:pPr>
        <w:ind w:left="12074" w:hanging="180"/>
      </w:pPr>
    </w:lvl>
  </w:abstractNum>
  <w:abstractNum w:abstractNumId="2" w15:restartNumberingAfterBreak="0">
    <w:nsid w:val="1A5D114F"/>
    <w:multiLevelType w:val="hybridMultilevel"/>
    <w:tmpl w:val="B2C26184"/>
    <w:lvl w:ilvl="0" w:tplc="77125D80">
      <w:numFmt w:val="bullet"/>
      <w:lvlText w:val=""/>
      <w:lvlJc w:val="left"/>
      <w:pPr>
        <w:ind w:left="1080" w:hanging="360"/>
      </w:pPr>
      <w:rPr>
        <w:rFonts w:ascii="Symbol" w:eastAsia="Times New Roman" w:hAnsi="Symbol" w:cs="Arial" w:hint="default"/>
        <w:color w:val="auto"/>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abstractNum w:abstractNumId="4" w15:restartNumberingAfterBreak="0">
    <w:nsid w:val="4E8214F2"/>
    <w:multiLevelType w:val="hybridMultilevel"/>
    <w:tmpl w:val="FFFFFFFF"/>
    <w:lvl w:ilvl="0" w:tplc="CCD6A268">
      <w:start w:val="1"/>
      <w:numFmt w:val="bullet"/>
      <w:lvlText w:val="-"/>
      <w:lvlJc w:val="left"/>
      <w:pPr>
        <w:ind w:left="720" w:hanging="360"/>
      </w:pPr>
      <w:rPr>
        <w:rFonts w:ascii="Frutiger LT Std 47 Light Cn" w:hAnsi="Frutiger LT Std 47 Light Cn"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65C17470"/>
    <w:multiLevelType w:val="singleLevel"/>
    <w:tmpl w:val="5E02F4A8"/>
    <w:lvl w:ilvl="0">
      <w:start w:val="1"/>
      <w:numFmt w:val="upperLetter"/>
      <w:lvlText w:val="%1)"/>
      <w:lvlJc w:val="left"/>
      <w:pPr>
        <w:tabs>
          <w:tab w:val="num" w:pos="786"/>
        </w:tabs>
        <w:ind w:left="786" w:hanging="360"/>
      </w:pPr>
    </w:lvl>
  </w:abstractNum>
  <w:abstractNum w:abstractNumId="6" w15:restartNumberingAfterBreak="0">
    <w:nsid w:val="77EA2B8C"/>
    <w:multiLevelType w:val="hybridMultilevel"/>
    <w:tmpl w:val="37F29E16"/>
    <w:lvl w:ilvl="0" w:tplc="19CADCC2">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28786988">
    <w:abstractNumId w:val="3"/>
  </w:num>
  <w:num w:numId="2" w16cid:durableId="978070698">
    <w:abstractNumId w:val="0"/>
    <w:lvlOverride w:ilvl="0">
      <w:lvl w:ilvl="0">
        <w:numFmt w:val="decimal"/>
        <w:lvlText w:val=""/>
        <w:legacy w:legacy="1" w:legacySpace="0" w:legacyIndent="360"/>
        <w:lvlJc w:val="left"/>
        <w:pPr>
          <w:ind w:left="0" w:firstLine="0"/>
        </w:pPr>
        <w:rPr>
          <w:rFonts w:ascii="Symbol" w:hAnsi="Symbol" w:hint="default"/>
        </w:rPr>
      </w:lvl>
    </w:lvlOverride>
  </w:num>
  <w:num w:numId="3" w16cid:durableId="892689964">
    <w:abstractNumId w:val="5"/>
    <w:lvlOverride w:ilvl="0">
      <w:startOverride w:val="1"/>
    </w:lvlOverride>
  </w:num>
  <w:num w:numId="4" w16cid:durableId="1805154058">
    <w:abstractNumId w:val="4"/>
  </w:num>
  <w:num w:numId="5" w16cid:durableId="1835340034">
    <w:abstractNumId w:val="1"/>
  </w:num>
  <w:num w:numId="6" w16cid:durableId="740176491">
    <w:abstractNumId w:val="2"/>
  </w:num>
  <w:num w:numId="7" w16cid:durableId="16354817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61BAD"/>
    <w:rsid w:val="00170E73"/>
    <w:rsid w:val="001A725E"/>
    <w:rsid w:val="0021394F"/>
    <w:rsid w:val="003D1143"/>
    <w:rsid w:val="00495CEA"/>
    <w:rsid w:val="005D7CEB"/>
    <w:rsid w:val="005F0E85"/>
    <w:rsid w:val="006223D7"/>
    <w:rsid w:val="006C2870"/>
    <w:rsid w:val="007819F3"/>
    <w:rsid w:val="00832717"/>
    <w:rsid w:val="008743DE"/>
    <w:rsid w:val="008761D5"/>
    <w:rsid w:val="0092736D"/>
    <w:rsid w:val="00B42515"/>
    <w:rsid w:val="00BF0BD7"/>
    <w:rsid w:val="00BF57D9"/>
    <w:rsid w:val="00C573F0"/>
    <w:rsid w:val="00DA7B25"/>
    <w:rsid w:val="00DD6B08"/>
    <w:rsid w:val="00E03B8A"/>
    <w:rsid w:val="00E0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6C36D0"/>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7">
    <w:name w:val="heading 7"/>
    <w:basedOn w:val="Normal"/>
    <w:next w:val="Normal"/>
    <w:link w:val="Ttulo7Car"/>
    <w:semiHidden/>
    <w:unhideWhenUsed/>
    <w:qFormat/>
    <w:rsid w:val="00C573F0"/>
    <w:pPr>
      <w:suppressAutoHyphens/>
      <w:autoSpaceDE/>
      <w:autoSpaceDN/>
      <w:adjustRightInd/>
      <w:spacing w:before="240" w:after="60" w:line="240" w:lineRule="auto"/>
      <w:outlineLvl w:val="6"/>
    </w:pPr>
    <w:rPr>
      <w:rFonts w:eastAsia="Times New Roman" w:cs="Times New Roman"/>
      <w:color w:val="000000"/>
      <w:sz w:val="24"/>
      <w:szCs w:val="24"/>
      <w:lang w:val="es-ES_tradnl" w:eastAsia="en-US"/>
    </w:rPr>
  </w:style>
  <w:style w:type="paragraph" w:styleId="Ttulo8">
    <w:name w:val="heading 8"/>
    <w:basedOn w:val="Normal"/>
    <w:next w:val="Normal"/>
    <w:link w:val="Ttulo8Car"/>
    <w:semiHidden/>
    <w:unhideWhenUsed/>
    <w:qFormat/>
    <w:rsid w:val="00C573F0"/>
    <w:pPr>
      <w:suppressAutoHyphens/>
      <w:autoSpaceDE/>
      <w:autoSpaceDN/>
      <w:adjustRightInd/>
      <w:spacing w:before="240" w:after="60" w:line="240" w:lineRule="auto"/>
      <w:outlineLvl w:val="7"/>
    </w:pPr>
    <w:rPr>
      <w:rFonts w:eastAsia="Times New Roman" w:cs="Times New Roman"/>
      <w:i/>
      <w:iCs/>
      <w:color w:val="000000"/>
      <w:sz w:val="24"/>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BF57D9"/>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NormalWeb">
    <w:name w:val="Normal (Web)"/>
    <w:basedOn w:val="Normal"/>
    <w:link w:val="NormalWebCar"/>
    <w:uiPriority w:val="99"/>
    <w:rsid w:val="006C2870"/>
    <w:pPr>
      <w:autoSpaceDE/>
      <w:autoSpaceDN/>
      <w:adjustRightInd/>
      <w:spacing w:after="0" w:line="360" w:lineRule="auto"/>
      <w:ind w:left="528" w:right="71" w:firstLine="600"/>
      <w:jc w:val="both"/>
    </w:pPr>
    <w:rPr>
      <w:rFonts w:ascii="Verdana" w:eastAsia="Times New Roman" w:hAnsi="Verdana" w:cs="Arial"/>
      <w:sz w:val="20"/>
      <w:szCs w:val="24"/>
    </w:rPr>
  </w:style>
  <w:style w:type="character" w:customStyle="1" w:styleId="NormalWebCar">
    <w:name w:val="Normal (Web) Car"/>
    <w:link w:val="NormalWeb"/>
    <w:uiPriority w:val="99"/>
    <w:locked/>
    <w:rsid w:val="006C2870"/>
    <w:rPr>
      <w:rFonts w:ascii="Verdana" w:eastAsia="Times New Roman" w:hAnsi="Verdana" w:cs="Arial"/>
      <w:sz w:val="20"/>
      <w:szCs w:val="24"/>
    </w:rPr>
  </w:style>
  <w:style w:type="paragraph" w:customStyle="1" w:styleId="Formatolibre">
    <w:name w:val="Formato libre"/>
    <w:uiPriority w:val="99"/>
    <w:rsid w:val="0092736D"/>
    <w:pPr>
      <w:spacing w:after="0" w:line="240" w:lineRule="auto"/>
    </w:pPr>
    <w:rPr>
      <w:rFonts w:ascii="Helvetica" w:eastAsia="ヒラギノ角ゴ Pro W3" w:hAnsi="Helvetica"/>
      <w:color w:val="000000"/>
      <w:sz w:val="24"/>
      <w:szCs w:val="20"/>
      <w:lang w:val="es-ES_tradnl"/>
    </w:rPr>
  </w:style>
  <w:style w:type="paragraph" w:styleId="Prrafodelista">
    <w:name w:val="List Paragraph"/>
    <w:basedOn w:val="Normal"/>
    <w:uiPriority w:val="34"/>
    <w:qFormat/>
    <w:rsid w:val="0092736D"/>
    <w:pPr>
      <w:autoSpaceDE/>
      <w:autoSpaceDN/>
      <w:adjustRightInd/>
      <w:spacing w:before="120" w:after="120" w:line="240" w:lineRule="auto"/>
      <w:ind w:left="720"/>
      <w:contextualSpacing/>
      <w:jc w:val="both"/>
    </w:pPr>
    <w:rPr>
      <w:rFonts w:eastAsia="Times New Roman" w:cs="Times New Roman"/>
      <w:sz w:val="24"/>
      <w:szCs w:val="24"/>
    </w:rPr>
  </w:style>
  <w:style w:type="character" w:customStyle="1" w:styleId="Ttulo7Car">
    <w:name w:val="Título 7 Car"/>
    <w:basedOn w:val="Fuentedeprrafopredeter"/>
    <w:link w:val="Ttulo7"/>
    <w:semiHidden/>
    <w:rsid w:val="00C573F0"/>
    <w:rPr>
      <w:rFonts w:ascii="Calibri" w:eastAsia="Times New Roman" w:hAnsi="Calibri"/>
      <w:color w:val="000000"/>
      <w:sz w:val="24"/>
      <w:szCs w:val="24"/>
      <w:lang w:val="es-ES_tradnl" w:eastAsia="en-US"/>
    </w:rPr>
  </w:style>
  <w:style w:type="character" w:customStyle="1" w:styleId="Ttulo8Car">
    <w:name w:val="Título 8 Car"/>
    <w:basedOn w:val="Fuentedeprrafopredeter"/>
    <w:link w:val="Ttulo8"/>
    <w:semiHidden/>
    <w:rsid w:val="00C573F0"/>
    <w:rPr>
      <w:rFonts w:ascii="Calibri" w:eastAsia="Times New Roman" w:hAnsi="Calibri"/>
      <w:i/>
      <w:iCs/>
      <w:color w:val="000000"/>
      <w:sz w:val="24"/>
      <w:szCs w:val="24"/>
      <w:lang w:val="es-ES_tradnl" w:eastAsia="en-US"/>
    </w:rPr>
  </w:style>
  <w:style w:type="paragraph" w:customStyle="1" w:styleId="Preformatted">
    <w:name w:val="Preformatted"/>
    <w:basedOn w:val="Normal"/>
    <w:rsid w:val="005F0E8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spacing w:after="0" w:line="240" w:lineRule="auto"/>
    </w:pPr>
    <w:rPr>
      <w:rFonts w:ascii="Courier New" w:eastAsia="Times New Roman" w:hAnsi="Courier New" w:cs="Times New Roman"/>
      <w:snapToGrid w:val="0"/>
      <w:sz w:val="20"/>
      <w:szCs w:val="20"/>
      <w:lang w:val="es-ES_tradnl"/>
    </w:rPr>
  </w:style>
  <w:style w:type="paragraph" w:styleId="Textodebloque">
    <w:name w:val="Block Text"/>
    <w:basedOn w:val="Normal"/>
    <w:rsid w:val="00E07A0B"/>
    <w:pPr>
      <w:suppressAutoHyphens/>
      <w:autoSpaceDE/>
      <w:autoSpaceDN/>
      <w:adjustRightInd/>
      <w:spacing w:after="0" w:line="240" w:lineRule="auto"/>
    </w:pPr>
    <w:rPr>
      <w:rFonts w:ascii="Arial" w:eastAsia="Times New Roman" w:hAnsi="Arial" w:cs="Arial"/>
      <w:color w:val="00000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2043</Words>
  <Characters>10486</Characters>
  <Application>Microsoft Office Word</Application>
  <DocSecurity>0</DocSecurity>
  <Lines>87</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12504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cp:revision>
  <dcterms:created xsi:type="dcterms:W3CDTF">2023-02-23T12:38:00Z</dcterms:created>
  <dcterms:modified xsi:type="dcterms:W3CDTF">2023-02-23T12:42:00Z</dcterms:modified>
</cp:coreProperties>
</file>