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C5623" w14:textId="77777777"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AytoRoquetas Light Condensed" w:hAnsi="AytoRoquetas Light Condensed"/>
          <w:b/>
        </w:rPr>
      </w:pPr>
    </w:p>
    <w:p w14:paraId="73467EFF" w14:textId="77777777"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AytoRoquetas Light Condensed" w:hAnsi="AytoRoquetas Light Condensed"/>
          <w:b/>
        </w:rPr>
      </w:pPr>
    </w:p>
    <w:p w14:paraId="2A8148FE" w14:textId="7F477453"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pPr>
      <w:r>
        <w:rPr>
          <w:rFonts w:ascii="AytoRoquetas Light Condensed" w:hAnsi="AytoRoquetas Light Condensed"/>
          <w:b/>
        </w:rPr>
        <w:t>INFORME DE FISCALIZACIÓN Y/O INTERVENCIÓN LIMITADA PREVIA DE REQUISITOS BÁSICOS DE CONFORMIDAD</w:t>
      </w:r>
    </w:p>
    <w:p w14:paraId="3CDA0EAB"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ind w:left="720"/>
        <w:jc w:val="both"/>
        <w:rPr>
          <w:rFonts w:ascii="AytoRoquetas Light Condensed" w:hAnsi="AytoRoquetas Light Condensed"/>
        </w:rPr>
      </w:pPr>
    </w:p>
    <w:p w14:paraId="14717A29"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ANTECEDENTES</w:t>
      </w:r>
    </w:p>
    <w:p w14:paraId="606827AC"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16C6D4D8" w14:textId="4AA44687" w:rsidR="007379CB" w:rsidRDefault="007379CB" w:rsidP="0057470C">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EXPEDIENTE:</w:t>
      </w:r>
      <w:r>
        <w:rPr>
          <w:rFonts w:ascii="AytoRoquetas Light Condensed" w:hAnsi="AytoRoquetas Light Condensed"/>
        </w:rPr>
        <w:t xml:space="preserve"> 202</w:t>
      </w:r>
      <w:r w:rsidR="0012546E">
        <w:rPr>
          <w:rFonts w:ascii="AytoRoquetas Light Condensed" w:hAnsi="AytoRoquetas Light Condensed"/>
        </w:rPr>
        <w:t>2</w:t>
      </w:r>
      <w:r>
        <w:rPr>
          <w:rFonts w:ascii="AytoRoquetas Light Condensed" w:hAnsi="AytoRoquetas Light Condensed"/>
        </w:rPr>
        <w:t>/0</w:t>
      </w:r>
      <w:r w:rsidR="0012546E">
        <w:rPr>
          <w:rFonts w:ascii="AytoRoquetas Light Condensed" w:hAnsi="AytoRoquetas Light Condensed"/>
        </w:rPr>
        <w:t>5</w:t>
      </w:r>
      <w:r>
        <w:rPr>
          <w:rFonts w:ascii="AytoRoquetas Light Condensed" w:hAnsi="AytoRoquetas Light Condensed"/>
        </w:rPr>
        <w:t>.0</w:t>
      </w:r>
      <w:r w:rsidR="0012546E">
        <w:rPr>
          <w:rFonts w:ascii="AytoRoquetas Light Condensed" w:hAnsi="AytoRoquetas Light Condensed"/>
        </w:rPr>
        <w:t>1</w:t>
      </w:r>
      <w:r>
        <w:rPr>
          <w:rFonts w:ascii="AytoRoquetas Light Condensed" w:hAnsi="AytoRoquetas Light Condensed"/>
        </w:rPr>
        <w:t>.0</w:t>
      </w:r>
      <w:r w:rsidR="0012546E">
        <w:rPr>
          <w:rFonts w:ascii="AytoRoquetas Light Condensed" w:hAnsi="AytoRoquetas Light Condensed"/>
        </w:rPr>
        <w:t>0</w:t>
      </w:r>
      <w:r>
        <w:rPr>
          <w:rFonts w:ascii="AytoRoquetas Light Condensed" w:hAnsi="AytoRoquetas Light Condensed"/>
        </w:rPr>
        <w:t>.</w:t>
      </w:r>
      <w:r w:rsidR="0012546E">
        <w:rPr>
          <w:rFonts w:ascii="AytoRoquetas Light Condensed" w:hAnsi="AytoRoquetas Light Condensed"/>
        </w:rPr>
        <w:t>0</w:t>
      </w:r>
      <w:r>
        <w:rPr>
          <w:rFonts w:ascii="AytoRoquetas Light Condensed" w:hAnsi="AytoRoquetas Light Condensed"/>
        </w:rPr>
        <w:t>1/</w:t>
      </w:r>
      <w:r w:rsidR="0012546E">
        <w:rPr>
          <w:rFonts w:ascii="AytoRoquetas Light Condensed" w:hAnsi="AytoRoquetas Light Condensed"/>
        </w:rPr>
        <w:t>90</w:t>
      </w:r>
      <w:r w:rsidRPr="0057470C">
        <w:rPr>
          <w:rFonts w:ascii="AytoRoquetas Light Condensed" w:hAnsi="AytoRoquetas Light Condensed"/>
        </w:rPr>
        <w:t xml:space="preserve"> </w:t>
      </w:r>
      <w:r w:rsidR="0012546E">
        <w:rPr>
          <w:rFonts w:ascii="AytoRoquetas Light Condensed" w:hAnsi="AytoRoquetas Light Condensed"/>
        </w:rPr>
        <w:t>–</w:t>
      </w:r>
      <w:r w:rsidRPr="0057470C">
        <w:rPr>
          <w:rFonts w:ascii="AytoRoquetas Light Condensed" w:hAnsi="AytoRoquetas Light Condensed"/>
        </w:rPr>
        <w:t xml:space="preserve"> </w:t>
      </w:r>
      <w:r w:rsidR="0012546E">
        <w:rPr>
          <w:rFonts w:ascii="AytoRoquetas Light Condensed" w:hAnsi="AytoRoquetas Light Condensed"/>
        </w:rPr>
        <w:t>PROYECTO DE INSTALACIÓN FOTOVOLTAICA</w:t>
      </w:r>
      <w:r w:rsidR="00FB6E63">
        <w:rPr>
          <w:rFonts w:ascii="AytoRoquetas Light Condensed" w:hAnsi="AytoRoquetas Light Condensed"/>
        </w:rPr>
        <w:t xml:space="preserve"> DE 100 KW Y LOS PLIEGOS QUE RIGEN LA CONTRATACIÓN DE LA EJECUCIÓN DE LOS TRABAJOS EXPTE. CONSORCIO 2020/88 Y EXPTE. FIRMADO 2022/4396</w:t>
      </w:r>
    </w:p>
    <w:p w14:paraId="64E01066" w14:textId="62E02FE5" w:rsidR="007379CB" w:rsidRDefault="007379CB" w:rsidP="007379CB">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AREA-EXPEDIENTE-ACTUACION:</w:t>
      </w:r>
      <w:r>
        <w:rPr>
          <w:rFonts w:ascii="AytoRoquetas Light Condensed" w:hAnsi="AytoRoquetas Light Condensed"/>
        </w:rPr>
        <w:t xml:space="preserve"> ÁREA DE CONTRATACIÓN,</w:t>
      </w:r>
      <w:r w:rsidR="00FB6E63">
        <w:rPr>
          <w:rFonts w:ascii="AytoRoquetas Light Condensed" w:hAnsi="AytoRoquetas Light Condensed"/>
        </w:rPr>
        <w:t xml:space="preserve"> </w:t>
      </w:r>
      <w:r>
        <w:rPr>
          <w:rFonts w:ascii="AytoRoquetas Light Condensed" w:hAnsi="AytoRoquetas Light Condensed"/>
        </w:rPr>
        <w:t xml:space="preserve">CONTRATOS PATRIMONIALES Y PRIVADOS, Y RESPONSABILIDAD PATRIMONIAL / </w:t>
      </w:r>
      <w:r w:rsidR="003A1BED">
        <w:rPr>
          <w:rFonts w:ascii="AytoRoquetas Light Condensed" w:hAnsi="AytoRoquetas Light Condensed"/>
        </w:rPr>
        <w:t>Preparación y adjudicación de expedientes de contratación de obras</w:t>
      </w:r>
      <w:r>
        <w:rPr>
          <w:rFonts w:ascii="AytoRoquetas Light Condensed" w:hAnsi="AytoRoquetas Light Condensed"/>
        </w:rPr>
        <w:t xml:space="preserve"> / </w:t>
      </w:r>
      <w:r w:rsidR="003A1BED">
        <w:rPr>
          <w:rFonts w:ascii="AytoRoquetas Light Condensed" w:hAnsi="AytoRoquetas Light Condensed"/>
        </w:rPr>
        <w:t>Adjudicación</w:t>
      </w:r>
      <w:r>
        <w:rPr>
          <w:rFonts w:ascii="AytoRoquetas Light Condensed" w:hAnsi="AytoRoquetas Light Condensed"/>
        </w:rPr>
        <w:t xml:space="preserve"> (</w:t>
      </w:r>
      <w:r w:rsidR="003A1BED">
        <w:rPr>
          <w:rFonts w:ascii="AytoRoquetas Light Condensed" w:hAnsi="AytoRoquetas Light Condensed"/>
        </w:rPr>
        <w:t xml:space="preserve">sin </w:t>
      </w:r>
      <w:r>
        <w:rPr>
          <w:rFonts w:ascii="AytoRoquetas Light Condensed" w:hAnsi="AytoRoquetas Light Condensed"/>
        </w:rPr>
        <w:t>fase</w:t>
      </w:r>
      <w:r w:rsidR="003A1BED">
        <w:rPr>
          <w:rFonts w:ascii="AytoRoquetas Light Condensed" w:hAnsi="AytoRoquetas Light Condensed"/>
        </w:rPr>
        <w:t xml:space="preserve"> presupuestaria/AD/D</w:t>
      </w:r>
      <w:r>
        <w:rPr>
          <w:rFonts w:ascii="AytoRoquetas Light Condensed" w:hAnsi="AytoRoquetas Light Condensed"/>
        </w:rPr>
        <w:t>)</w:t>
      </w:r>
    </w:p>
    <w:p w14:paraId="02E20029" w14:textId="166246C7" w:rsidR="007379CB" w:rsidRDefault="007379CB" w:rsidP="007379CB">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ÓRGANO:</w:t>
      </w:r>
      <w:r>
        <w:rPr>
          <w:rFonts w:ascii="AytoRoquetas Light Condensed" w:hAnsi="AytoRoquetas Light Condensed"/>
        </w:rPr>
        <w:t xml:space="preserve"> Presidencia</w:t>
      </w:r>
    </w:p>
    <w:p w14:paraId="332CD5F9"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5A198A53"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FUNDAMENTOS JURÍDICOS</w:t>
      </w:r>
    </w:p>
    <w:p w14:paraId="20DC6CF8"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434D1F44" w14:textId="77777777" w:rsidR="007379CB" w:rsidRDefault="007379CB" w:rsidP="007379CB">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Real Decreto Legislativo 2/2004, de 5 de marzo por el que se aprueba el texto de refundido de la Ley Reguladora de las Haciendas Locales (TRLRHL).</w:t>
      </w:r>
    </w:p>
    <w:p w14:paraId="00B53DE3" w14:textId="77777777" w:rsidR="007379CB" w:rsidRDefault="007379CB" w:rsidP="007379CB">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Real Decreto 424/2017, de 28 de abril, por el que se regula el Régimen Jurídico del Control Interno en las Entidades del Sector Público Local.</w:t>
      </w:r>
    </w:p>
    <w:p w14:paraId="4413DA32" w14:textId="77777777" w:rsidR="007379CB" w:rsidRDefault="007379CB" w:rsidP="007379CB">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Acuerdo del Pleno de fecha 5 de julio de 2018 por el que se aprueba el régimen de fiscalización e intervención limitada previa y los requisitos a comprobar en función de la naturaleza del expediente.</w:t>
      </w:r>
    </w:p>
    <w:p w14:paraId="48A69ADD"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3A8FE867"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 xml:space="preserve">INFORMO </w:t>
      </w:r>
    </w:p>
    <w:p w14:paraId="3DD38246"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76397C83" w14:textId="77777777" w:rsidR="007379CB" w:rsidRPr="0012546E"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r w:rsidRPr="0012546E">
        <w:rPr>
          <w:rFonts w:ascii="AytoRoquetas Light Condensed" w:hAnsi="AytoRoquetas Light Condensed"/>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w:t>
      </w:r>
      <w:r w:rsidRPr="0012546E">
        <w:rPr>
          <w:rFonts w:ascii="AytoRoquetas Light Condensed" w:hAnsi="AytoRoquetas Light Condensed"/>
          <w:b/>
        </w:rPr>
        <w:t xml:space="preserve"> </w:t>
      </w:r>
      <w:r w:rsidRPr="0012546E">
        <w:rPr>
          <w:rFonts w:ascii="AytoRoquetas Light Condensed" w:hAnsi="AytoRoquetas Light Condensed"/>
        </w:rPr>
        <w:t>con el siguiente resultado:</w:t>
      </w:r>
    </w:p>
    <w:p w14:paraId="166A9990" w14:textId="77777777" w:rsidR="007379CB" w:rsidRPr="0012546E"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1291F96A" w14:textId="77777777" w:rsidR="007379CB" w:rsidRPr="0012546E" w:rsidRDefault="007379CB" w:rsidP="0012546E">
      <w:pPr>
        <w:numPr>
          <w:ilvl w:val="0"/>
          <w:numId w:val="2"/>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rPr>
          <w:rFonts w:ascii="AytoRoquetas Light Condensed" w:hAnsi="AytoRoquetas Light Condensed"/>
        </w:rPr>
      </w:pPr>
      <w:r w:rsidRPr="0012546E">
        <w:rPr>
          <w:rFonts w:ascii="AytoRoquetas Light Condensed" w:hAnsi="AytoRoquetas Light Condensed"/>
          <w:b/>
        </w:rPr>
        <w:t>Requisitos fiscalizados de conformidad:</w:t>
      </w:r>
    </w:p>
    <w:p w14:paraId="44D323AA" w14:textId="50165CAD" w:rsidR="003A1BED" w:rsidRPr="0012546E" w:rsidRDefault="003A1BED" w:rsidP="0012546E">
      <w:pPr>
        <w:pStyle w:val="Prrafodelista"/>
        <w:suppressAutoHyphens w:val="0"/>
        <w:spacing w:after="0" w:line="240" w:lineRule="auto"/>
        <w:ind w:left="360"/>
        <w:jc w:val="both"/>
        <w:rPr>
          <w:rFonts w:ascii="AytoRoquetas Light Condensed" w:eastAsiaTheme="minorHAnsi" w:hAnsi="AytoRoquetas Light Condensed" w:cs="AytoRoquetas-LightCn"/>
          <w:kern w:val="0"/>
          <w:szCs w:val="22"/>
          <w:lang w:eastAsia="en-US" w:bidi="ar-SA"/>
        </w:rPr>
      </w:pPr>
      <w:r w:rsidRPr="0012546E">
        <w:rPr>
          <w:rFonts w:ascii="AytoRoquetas Light Condensed" w:eastAsiaTheme="minorHAnsi" w:hAnsi="AytoRoquetas Light Condensed" w:cs="AytoRoquetas-LightCn"/>
          <w:kern w:val="0"/>
          <w:szCs w:val="22"/>
          <w:lang w:eastAsia="en-US" w:bidi="ar-SA"/>
        </w:rPr>
        <w:t>- Que existe crédito presupuestario y que el propuesto es el adecuado a la naturaleza del gasto que se propone contraer, y</w:t>
      </w:r>
      <w:r w:rsidR="0012546E" w:rsidRPr="0012546E">
        <w:rPr>
          <w:rFonts w:ascii="AytoRoquetas Light Condensed" w:eastAsiaTheme="minorHAnsi" w:hAnsi="AytoRoquetas Light Condensed" w:cs="AytoRoquetas-LightCn"/>
          <w:kern w:val="0"/>
          <w:szCs w:val="22"/>
          <w:lang w:eastAsia="en-US" w:bidi="ar-SA"/>
        </w:rPr>
        <w:t xml:space="preserve"> </w:t>
      </w:r>
      <w:r w:rsidRPr="0012546E">
        <w:rPr>
          <w:rFonts w:ascii="AytoRoquetas Light Condensed" w:eastAsiaTheme="minorHAnsi" w:hAnsi="AytoRoquetas Light Condensed" w:cs="AytoRoquetas-LightCn"/>
          <w:kern w:val="0"/>
          <w:szCs w:val="22"/>
          <w:lang w:eastAsia="en-US" w:bidi="ar-SA"/>
        </w:rPr>
        <w:t>que se incorpora en el expediente el correspondiente certificado de existencia de crédito o documento equivalente.</w:t>
      </w:r>
    </w:p>
    <w:p w14:paraId="2E95318D" w14:textId="77777777" w:rsidR="003A1BED" w:rsidRPr="0012546E" w:rsidRDefault="003A1BED" w:rsidP="0012546E">
      <w:pPr>
        <w:pStyle w:val="Prrafodelista"/>
        <w:suppressAutoHyphens w:val="0"/>
        <w:spacing w:after="0" w:line="240" w:lineRule="auto"/>
        <w:ind w:left="360"/>
        <w:jc w:val="both"/>
        <w:rPr>
          <w:rFonts w:ascii="AytoRoquetas Light Condensed" w:eastAsiaTheme="minorHAnsi" w:hAnsi="AytoRoquetas Light Condensed" w:cs="AytoRoquetas-LightCn"/>
          <w:kern w:val="0"/>
          <w:szCs w:val="22"/>
          <w:lang w:eastAsia="en-US" w:bidi="ar-SA"/>
        </w:rPr>
      </w:pPr>
      <w:r w:rsidRPr="0012546E">
        <w:rPr>
          <w:rFonts w:ascii="AytoRoquetas Light Condensed" w:eastAsiaTheme="minorHAnsi" w:hAnsi="AytoRoquetas Light Condensed" w:cs="AytoRoquetas-LightCn"/>
          <w:kern w:val="0"/>
          <w:szCs w:val="22"/>
          <w:lang w:eastAsia="en-US" w:bidi="ar-SA"/>
        </w:rPr>
        <w:t>- Que el gasto se genera por órgano competente.</w:t>
      </w:r>
    </w:p>
    <w:p w14:paraId="463C7F0A" w14:textId="42A809C3" w:rsidR="003A1BED" w:rsidRPr="0012546E" w:rsidRDefault="003A1BED" w:rsidP="0012546E">
      <w:pPr>
        <w:pStyle w:val="Prrafodelista"/>
        <w:suppressAutoHyphens w:val="0"/>
        <w:spacing w:after="0" w:line="240" w:lineRule="auto"/>
        <w:ind w:left="360"/>
        <w:jc w:val="both"/>
        <w:rPr>
          <w:rFonts w:ascii="AytoRoquetas Light Condensed" w:eastAsiaTheme="minorHAnsi" w:hAnsi="AytoRoquetas Light Condensed" w:cs="AytoRoquetas-LightCn"/>
          <w:kern w:val="0"/>
          <w:szCs w:val="22"/>
          <w:lang w:eastAsia="en-US" w:bidi="ar-SA"/>
        </w:rPr>
      </w:pPr>
      <w:r w:rsidRPr="0012546E">
        <w:rPr>
          <w:rFonts w:ascii="AytoRoquetas Light Condensed" w:eastAsiaTheme="minorHAnsi" w:hAnsi="AytoRoquetas Light Condensed" w:cs="AytoRoquetas-LightCn"/>
          <w:kern w:val="0"/>
          <w:szCs w:val="22"/>
          <w:lang w:eastAsia="en-US" w:bidi="ar-SA"/>
        </w:rPr>
        <w:t>- Al declararse la existencia de ofertas incursas en presunción de anormalidad, que existe constancia de la solicitud de la</w:t>
      </w:r>
      <w:r w:rsidR="0012546E" w:rsidRPr="0012546E">
        <w:rPr>
          <w:rFonts w:ascii="AytoRoquetas Light Condensed" w:eastAsiaTheme="minorHAnsi" w:hAnsi="AytoRoquetas Light Condensed" w:cs="AytoRoquetas-LightCn"/>
          <w:kern w:val="0"/>
          <w:szCs w:val="22"/>
          <w:lang w:eastAsia="en-US" w:bidi="ar-SA"/>
        </w:rPr>
        <w:t xml:space="preserve"> </w:t>
      </w:r>
      <w:r w:rsidRPr="0012546E">
        <w:rPr>
          <w:rFonts w:ascii="AytoRoquetas Light Condensed" w:eastAsiaTheme="minorHAnsi" w:hAnsi="AytoRoquetas Light Condensed" w:cs="AytoRoquetas-LightCn"/>
          <w:kern w:val="0"/>
          <w:szCs w:val="22"/>
          <w:lang w:eastAsia="en-US" w:bidi="ar-SA"/>
        </w:rPr>
        <w:t>información a los licitadores que las hubiesen presentado y del informe del servicio técnico correspondiente.</w:t>
      </w:r>
    </w:p>
    <w:p w14:paraId="19E2841E" w14:textId="77777777" w:rsidR="003A1BED" w:rsidRPr="0012546E" w:rsidRDefault="003A1BED" w:rsidP="0012546E">
      <w:pPr>
        <w:pStyle w:val="Prrafodelista"/>
        <w:suppressAutoHyphens w:val="0"/>
        <w:spacing w:after="0" w:line="240" w:lineRule="auto"/>
        <w:ind w:left="360"/>
        <w:jc w:val="both"/>
        <w:rPr>
          <w:rFonts w:ascii="AytoRoquetas Light Condensed" w:eastAsiaTheme="minorHAnsi" w:hAnsi="AytoRoquetas Light Condensed" w:cs="AytoRoquetas-LightCn"/>
          <w:kern w:val="0"/>
          <w:szCs w:val="22"/>
          <w:lang w:eastAsia="en-US" w:bidi="ar-SA"/>
        </w:rPr>
      </w:pPr>
      <w:r w:rsidRPr="0012546E">
        <w:rPr>
          <w:rFonts w:ascii="AytoRoquetas Light Condensed" w:eastAsiaTheme="minorHAnsi" w:hAnsi="AytoRoquetas Light Condensed" w:cs="AytoRoquetas-LightCn"/>
          <w:kern w:val="0"/>
          <w:szCs w:val="22"/>
          <w:lang w:eastAsia="en-US" w:bidi="ar-SA"/>
        </w:rPr>
        <w:t>- Que se acredita la constitución de la garantía definitiva, excepto en los casos previstos en la L 9/2017.</w:t>
      </w:r>
    </w:p>
    <w:p w14:paraId="2EBE3A2C" w14:textId="2D8DAF48" w:rsidR="007379CB" w:rsidRPr="0012546E" w:rsidRDefault="003A1BED" w:rsidP="0012546E">
      <w:pPr>
        <w:pStyle w:val="Prrafodelista"/>
        <w:suppressAutoHyphens w:val="0"/>
        <w:spacing w:after="0" w:line="240" w:lineRule="auto"/>
        <w:ind w:left="360"/>
        <w:jc w:val="both"/>
        <w:rPr>
          <w:rFonts w:ascii="AytoRoquetas Light Condensed" w:eastAsiaTheme="minorHAnsi" w:hAnsi="AytoRoquetas Light Condensed" w:cs="AytoRoquetas-LightCn"/>
          <w:kern w:val="0"/>
          <w:szCs w:val="22"/>
          <w:lang w:eastAsia="en-US" w:bidi="ar-SA"/>
        </w:rPr>
      </w:pPr>
      <w:r w:rsidRPr="0012546E">
        <w:rPr>
          <w:rFonts w:ascii="AytoRoquetas Light Condensed" w:eastAsiaTheme="minorHAnsi" w:hAnsi="AytoRoquetas Light Condensed" w:cs="AytoRoquetas-LightCn"/>
          <w:kern w:val="0"/>
          <w:szCs w:val="22"/>
          <w:lang w:eastAsia="en-US" w:bidi="ar-SA"/>
        </w:rPr>
        <w:t xml:space="preserve">- Que se acredita que el licitador que se propone como adjudicatario </w:t>
      </w:r>
      <w:r w:rsidR="0012546E" w:rsidRPr="0012546E">
        <w:rPr>
          <w:rFonts w:ascii="AytoRoquetas Light Condensed" w:eastAsiaTheme="minorHAnsi" w:hAnsi="AytoRoquetas Light Condensed" w:cs="AytoRoquetas-LightCn"/>
          <w:kern w:val="0"/>
          <w:szCs w:val="22"/>
          <w:lang w:eastAsia="en-US" w:bidi="ar-SA"/>
        </w:rPr>
        <w:t>está al corriente de sus obligaciones tributarias y con la Seguridad Social</w:t>
      </w:r>
    </w:p>
    <w:p w14:paraId="2B9FCB19" w14:textId="77777777" w:rsidR="0012546E" w:rsidRPr="0012546E" w:rsidRDefault="0012546E" w:rsidP="0012546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ind w:left="360"/>
        <w:jc w:val="both"/>
        <w:rPr>
          <w:rFonts w:ascii="AytoRoquetas Light Condensed" w:hAnsi="AytoRoquetas Light Condensed"/>
        </w:rPr>
      </w:pPr>
      <w:r w:rsidRPr="0012546E">
        <w:rPr>
          <w:rFonts w:ascii="AytoRoquetas Light Condensed" w:hAnsi="AytoRoquetas Light Condensed"/>
        </w:rPr>
        <w:t>- Al tratarse de gastos con financiación afectada, que los recursos que las financian son ejecutivos y que se acredita la efectividad con la existencia de documentos fehacientes.</w:t>
      </w:r>
    </w:p>
    <w:p w14:paraId="303991EC" w14:textId="77777777" w:rsidR="0012546E" w:rsidRPr="0012546E" w:rsidRDefault="0012546E" w:rsidP="0012546E">
      <w:pPr>
        <w:pStyle w:val="Prrafodelista"/>
        <w:suppressAutoHyphens w:val="0"/>
        <w:spacing w:after="0" w:line="240" w:lineRule="auto"/>
        <w:ind w:left="360"/>
        <w:jc w:val="both"/>
        <w:rPr>
          <w:rFonts w:ascii="AytoRoquetas Light Condensed" w:hAnsi="AytoRoquetas Light Condensed"/>
        </w:rPr>
      </w:pPr>
    </w:p>
    <w:p w14:paraId="3DDCAB13" w14:textId="77777777" w:rsidR="007379CB" w:rsidRDefault="007379CB" w:rsidP="0012546E">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7BF66838" w14:textId="77777777" w:rsidR="00FB6E63" w:rsidRDefault="00FB6E63" w:rsidP="0012546E">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74441C85" w14:textId="77777777" w:rsidR="00FB6E63" w:rsidRDefault="00FB6E63" w:rsidP="0012546E">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4DEAA500" w14:textId="77777777" w:rsidR="00FB6E63" w:rsidRDefault="00FB6E63" w:rsidP="0012546E">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59D87A43" w14:textId="77777777" w:rsidR="00FB6E63" w:rsidRDefault="00FB6E63" w:rsidP="0012546E">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3B631317" w14:textId="77777777" w:rsidR="00FB6E63" w:rsidRPr="0012546E" w:rsidRDefault="00FB6E63" w:rsidP="0012546E">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6A9830EA" w14:textId="77777777" w:rsidR="007379CB" w:rsidRPr="0012546E" w:rsidRDefault="007379CB" w:rsidP="0012546E">
      <w:pPr>
        <w:numPr>
          <w:ilvl w:val="0"/>
          <w:numId w:val="2"/>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rPr>
          <w:rFonts w:ascii="AytoRoquetas Light Condensed" w:hAnsi="AytoRoquetas Light Condensed"/>
        </w:rPr>
      </w:pPr>
      <w:r w:rsidRPr="0012546E">
        <w:rPr>
          <w:rFonts w:ascii="AytoRoquetas Light Condensed" w:hAnsi="AytoRoquetas Light Condensed"/>
          <w:b/>
        </w:rPr>
        <w:t>Requisitos que, de acuerdo con la naturaleza del expediente y/o en esta fase del procedimiento no procede su revisión:</w:t>
      </w:r>
    </w:p>
    <w:p w14:paraId="04C79315" w14:textId="7D1F17A5" w:rsidR="0012546E" w:rsidRPr="0012546E" w:rsidRDefault="0012546E" w:rsidP="0012546E">
      <w:p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bCs/>
        </w:rPr>
      </w:pPr>
      <w:r w:rsidRPr="0012546E">
        <w:rPr>
          <w:rFonts w:ascii="AytoRoquetas Light Condensed" w:hAnsi="AytoRoquetas Light Condensed"/>
          <w:b/>
        </w:rPr>
        <w:t xml:space="preserve">- </w:t>
      </w:r>
      <w:r w:rsidRPr="0012546E">
        <w:rPr>
          <w:rFonts w:ascii="AytoRoquetas Light Condensed" w:hAnsi="AytoRoquetas Light Condensed"/>
          <w:bCs/>
        </w:rPr>
        <w:t xml:space="preserve">Al tratarse de gastos de carácter plurianual, que se cumple lo preceptuado en el artículo 174 del </w:t>
      </w:r>
      <w:proofErr w:type="spellStart"/>
      <w:r w:rsidRPr="0012546E">
        <w:rPr>
          <w:rFonts w:ascii="AytoRoquetas Light Condensed" w:hAnsi="AytoRoquetas Light Condensed"/>
          <w:bCs/>
        </w:rPr>
        <w:t>RDLeg</w:t>
      </w:r>
      <w:proofErr w:type="spellEnd"/>
      <w:r w:rsidRPr="0012546E">
        <w:rPr>
          <w:rFonts w:ascii="AytoRoquetas Light Condensed" w:hAnsi="AytoRoquetas Light Condensed"/>
          <w:bCs/>
        </w:rPr>
        <w:t>. 2/2004.</w:t>
      </w:r>
    </w:p>
    <w:p w14:paraId="0C9D65F1" w14:textId="4351C935" w:rsidR="0012546E" w:rsidRPr="0012546E" w:rsidRDefault="0012546E" w:rsidP="0012546E">
      <w:pPr>
        <w:pStyle w:val="Prrafodelista"/>
        <w:suppressAutoHyphens w:val="0"/>
        <w:spacing w:after="0" w:line="240" w:lineRule="auto"/>
        <w:ind w:left="360"/>
        <w:jc w:val="both"/>
        <w:rPr>
          <w:rFonts w:ascii="AytoRoquetas Light Condensed" w:eastAsiaTheme="minorHAnsi" w:hAnsi="AytoRoquetas Light Condensed" w:cs="AytoRoquetas-LightCn"/>
          <w:kern w:val="0"/>
          <w:szCs w:val="22"/>
          <w:lang w:eastAsia="en-US" w:bidi="ar-SA"/>
        </w:rPr>
      </w:pPr>
      <w:r w:rsidRPr="0012546E">
        <w:rPr>
          <w:rFonts w:ascii="AytoRoquetas Light Condensed" w:eastAsiaTheme="minorHAnsi" w:hAnsi="AytoRoquetas Light Condensed" w:cs="AytoRoquetas-LightCn"/>
          <w:kern w:val="0"/>
          <w:szCs w:val="22"/>
          <w:lang w:eastAsia="en-US" w:bidi="ar-SA"/>
        </w:rPr>
        <w:t>- Al tratarse de tramitación anticipada sin financiación afectada, que se incluye en el PCAP la subordinación de la</w:t>
      </w:r>
      <w:r w:rsidRPr="0012546E">
        <w:rPr>
          <w:rFonts w:ascii="AytoRoquetas Light Condensed" w:eastAsiaTheme="minorHAnsi" w:hAnsi="AytoRoquetas Light Condensed" w:cs="AytoRoquetas-LightCn"/>
          <w:kern w:val="0"/>
          <w:szCs w:val="22"/>
          <w:lang w:eastAsia="en-US" w:bidi="ar-SA"/>
        </w:rPr>
        <w:t xml:space="preserve"> </w:t>
      </w:r>
      <w:r w:rsidRPr="0012546E">
        <w:rPr>
          <w:rFonts w:ascii="AytoRoquetas Light Condensed" w:eastAsiaTheme="minorHAnsi" w:hAnsi="AytoRoquetas Light Condensed" w:cs="AytoRoquetas-LightCn"/>
          <w:kern w:val="0"/>
          <w:szCs w:val="22"/>
          <w:lang w:eastAsia="en-US" w:bidi="ar-SA"/>
        </w:rPr>
        <w:t>autorización del gasto al crédito para el ejercicio el cual se autorice en el presupuesto.</w:t>
      </w:r>
    </w:p>
    <w:p w14:paraId="36D88D74" w14:textId="77777777" w:rsidR="007379CB" w:rsidRPr="0012546E"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2CB775BB" w14:textId="77777777" w:rsidR="007379CB" w:rsidRPr="0012546E"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r w:rsidRPr="0012546E">
        <w:rPr>
          <w:rFonts w:ascii="AytoRoquetas Light Condensed" w:hAnsi="AytoRoquetas Light Condensed"/>
          <w:b/>
        </w:rPr>
        <w:t>CONCLUSIÓN</w:t>
      </w:r>
    </w:p>
    <w:p w14:paraId="152C5191" w14:textId="77777777" w:rsidR="007379CB" w:rsidRPr="0012546E"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6041D7DA" w14:textId="77777777" w:rsidR="007379CB" w:rsidRPr="0012546E"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r w:rsidRPr="0012546E">
        <w:rPr>
          <w:rFonts w:ascii="AytoRoquetas Light Condensed" w:hAnsi="AytoRoquetas Light Condensed"/>
        </w:rPr>
        <w:t xml:space="preserve">Se </w:t>
      </w:r>
      <w:r w:rsidRPr="0012546E">
        <w:rPr>
          <w:rFonts w:ascii="AytoRoquetas Light Condensed" w:hAnsi="AytoRoquetas Light Condensed"/>
          <w:b/>
        </w:rPr>
        <w:t>fiscaliza de conformidad</w:t>
      </w:r>
      <w:r w:rsidRPr="0012546E">
        <w:rPr>
          <w:rFonts w:ascii="AytoRoquetas Light Condensed" w:hAnsi="AytoRoquetas Light Condensed"/>
        </w:rPr>
        <w:t xml:space="preserve"> el expediente de referencia en esta fase del procedimiento en los términos y condiciones descritos anteriormente.</w:t>
      </w:r>
    </w:p>
    <w:p w14:paraId="5902BE87" w14:textId="77777777" w:rsidR="007379CB" w:rsidRPr="0012546E"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5954364E" w14:textId="77777777" w:rsidR="007379CB" w:rsidRPr="0012546E"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r w:rsidRPr="0012546E">
        <w:rPr>
          <w:rFonts w:ascii="AytoRoquetas Light Condensed" w:hAnsi="AytoRoquetas Light Condensed"/>
        </w:rPr>
        <w:t>Siendo el resultado de la fiscalización:</w:t>
      </w:r>
    </w:p>
    <w:p w14:paraId="0EB43272" w14:textId="77777777" w:rsidR="007379CB" w:rsidRPr="0012546E"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AytoRoquetas Light Condensed" w:hAnsi="AytoRoquetas Light Condensed"/>
        </w:rPr>
      </w:pPr>
      <w:r w:rsidRPr="0012546E">
        <w:rPr>
          <w:rFonts w:ascii="AytoRoquetas Light Condensed" w:hAnsi="AytoRoquetas Light Condensed"/>
          <w:b/>
        </w:rPr>
        <w:t>Fiscalizado de conformidad</w:t>
      </w:r>
    </w:p>
    <w:p w14:paraId="31FFE64E" w14:textId="77777777" w:rsidR="007379CB" w:rsidRPr="0012546E"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7D86FD4E" w14:textId="77777777" w:rsidR="007379CB" w:rsidRPr="0012546E" w:rsidRDefault="007379CB" w:rsidP="007379CB">
      <w:pPr>
        <w:spacing w:after="0" w:line="288" w:lineRule="auto"/>
        <w:ind w:firstLine="567"/>
        <w:jc w:val="both"/>
        <w:rPr>
          <w:rFonts w:ascii="AytoRoquetas Light Condensed" w:hAnsi="AytoRoquetas Light Condensed"/>
        </w:rPr>
      </w:pPr>
    </w:p>
    <w:p w14:paraId="3EB08A2E" w14:textId="77777777" w:rsidR="007379CB" w:rsidRPr="0012546E" w:rsidRDefault="007379CB" w:rsidP="007379CB">
      <w:pPr>
        <w:widowControl w:val="0"/>
        <w:spacing w:after="0" w:line="288" w:lineRule="auto"/>
        <w:ind w:firstLine="567"/>
        <w:rPr>
          <w:rFonts w:ascii="AytoRoquetas Light Condensed" w:hAnsi="AytoRoquetas Light Condensed"/>
        </w:rPr>
      </w:pPr>
    </w:p>
    <w:p w14:paraId="356BBD98" w14:textId="77777777" w:rsidR="0045195C" w:rsidRPr="0012546E" w:rsidRDefault="0045195C">
      <w:pPr>
        <w:rPr>
          <w:rFonts w:ascii="AytoRoquetas Light Condensed" w:hAnsi="AytoRoquetas Light Condensed"/>
        </w:rPr>
      </w:pPr>
    </w:p>
    <w:sectPr w:rsidR="0045195C" w:rsidRPr="0012546E" w:rsidSect="007379CB">
      <w:headerReference w:type="default" r:id="rId7"/>
      <w:footerReference w:type="default" r:id="rId8"/>
      <w:pgSz w:w="11906" w:h="16838"/>
      <w:pgMar w:top="1134" w:right="1021" w:bottom="1134" w:left="1021" w:header="709"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90665" w14:textId="77777777" w:rsidR="00491150" w:rsidRDefault="00491150" w:rsidP="007379CB">
      <w:pPr>
        <w:spacing w:after="0" w:line="240" w:lineRule="auto"/>
      </w:pPr>
      <w:r>
        <w:separator/>
      </w:r>
    </w:p>
  </w:endnote>
  <w:endnote w:type="continuationSeparator" w:id="0">
    <w:p w14:paraId="297FB96C" w14:textId="77777777" w:rsidR="00491150" w:rsidRDefault="00491150" w:rsidP="00737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ambria"/>
    <w:panose1 w:val="00000400000000000000"/>
    <w:charset w:val="01"/>
    <w:family w:val="roman"/>
    <w:pitch w:val="variable"/>
    <w:sig w:usb0="00002003" w:usb1="00000000" w:usb2="00000000" w:usb3="00000000" w:csb0="00000001" w:csb1="00000000"/>
  </w:font>
  <w:font w:name="AytoRoquetas-LightCn">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42AC" w14:textId="77777777" w:rsidR="00F65027" w:rsidRDefault="00000000">
    <w:pPr>
      <w:widowControl w:val="0"/>
      <w:tabs>
        <w:tab w:val="left" w:pos="7800"/>
      </w:tabs>
      <w:spacing w:after="0" w:line="240" w:lineRule="atLeast"/>
      <w:rPr>
        <w:rFonts w:ascii="Verdana" w:hAnsi="Verdana"/>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BDBD8" w14:textId="77777777" w:rsidR="00491150" w:rsidRDefault="00491150" w:rsidP="007379CB">
      <w:pPr>
        <w:spacing w:after="0" w:line="240" w:lineRule="auto"/>
      </w:pPr>
      <w:r>
        <w:separator/>
      </w:r>
    </w:p>
  </w:footnote>
  <w:footnote w:type="continuationSeparator" w:id="0">
    <w:p w14:paraId="17C66BAC" w14:textId="77777777" w:rsidR="00491150" w:rsidRDefault="00491150" w:rsidP="007379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58CAF" w14:textId="7E517AED" w:rsidR="00F65027" w:rsidRPr="007379CB" w:rsidRDefault="007379CB" w:rsidP="007379CB">
    <w:pPr>
      <w:pStyle w:val="Encabezado"/>
    </w:pPr>
    <w:r>
      <w:rPr>
        <w:noProof/>
      </w:rPr>
      <w:drawing>
        <wp:inline distT="0" distB="0" distL="0" distR="0" wp14:anchorId="16E5CAFD" wp14:editId="08A90D2D">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pPr>
        <w:ind w:left="720" w:hanging="360"/>
      </w:pPr>
      <w:rPr>
        <w:rFonts w:ascii="Arial" w:hAnsi="Arial"/>
        <w:b/>
        <w:i w:val="0"/>
        <w:strike w:val="0"/>
        <w:sz w:val="24"/>
      </w:rPr>
    </w:lvl>
    <w:lvl w:ilvl="1">
      <w:start w:val="1"/>
      <w:numFmt w:val="bullet"/>
      <w:lvlText w:val=""/>
      <w:lvlJc w:val="left"/>
      <w:pPr>
        <w:ind w:left="1080" w:hanging="360"/>
      </w:pPr>
      <w:rPr>
        <w:rFonts w:ascii="Arial"/>
        <w:b/>
        <w:i w:val="0"/>
        <w:strike w:val="0"/>
        <w:sz w:val="24"/>
      </w:rPr>
    </w:lvl>
    <w:lvl w:ilvl="2">
      <w:start w:val="1"/>
      <w:numFmt w:val="bullet"/>
      <w:lvlText w:val=""/>
      <w:lvlJc w:val="left"/>
      <w:pPr>
        <w:ind w:left="1440" w:hanging="360"/>
      </w:pPr>
      <w:rPr>
        <w:rFonts w:ascii="Arial"/>
        <w:b/>
        <w:i w:val="0"/>
        <w:strike w:val="0"/>
        <w:sz w:val="24"/>
      </w:rPr>
    </w:lvl>
    <w:lvl w:ilvl="3">
      <w:start w:val="1"/>
      <w:numFmt w:val="bullet"/>
      <w:lvlText w:val=""/>
      <w:lvlJc w:val="left"/>
      <w:pPr>
        <w:ind w:left="1800" w:hanging="360"/>
      </w:pPr>
      <w:rPr>
        <w:rFonts w:ascii="Arial"/>
        <w:b/>
        <w:i w:val="0"/>
        <w:strike w:val="0"/>
        <w:sz w:val="24"/>
      </w:rPr>
    </w:lvl>
    <w:lvl w:ilvl="4">
      <w:start w:val="1"/>
      <w:numFmt w:val="bullet"/>
      <w:lvlText w:val=""/>
      <w:lvlJc w:val="left"/>
      <w:pPr>
        <w:ind w:left="2160" w:hanging="360"/>
      </w:pPr>
      <w:rPr>
        <w:rFonts w:ascii="Arial"/>
        <w:b/>
        <w:i w:val="0"/>
        <w:strike w:val="0"/>
        <w:sz w:val="24"/>
      </w:rPr>
    </w:lvl>
    <w:lvl w:ilvl="5">
      <w:start w:val="1"/>
      <w:numFmt w:val="bullet"/>
      <w:lvlText w:val=""/>
      <w:lvlJc w:val="left"/>
      <w:pPr>
        <w:ind w:left="2520" w:hanging="360"/>
      </w:pPr>
      <w:rPr>
        <w:rFonts w:ascii="Arial"/>
        <w:b/>
        <w:i w:val="0"/>
        <w:strike w:val="0"/>
        <w:sz w:val="24"/>
      </w:rPr>
    </w:lvl>
    <w:lvl w:ilvl="6">
      <w:start w:val="1"/>
      <w:numFmt w:val="bullet"/>
      <w:lvlText w:val=""/>
      <w:lvlJc w:val="left"/>
      <w:pPr>
        <w:ind w:left="2880" w:hanging="360"/>
      </w:pPr>
      <w:rPr>
        <w:rFonts w:ascii="Arial"/>
        <w:b/>
        <w:i w:val="0"/>
        <w:strike w:val="0"/>
        <w:sz w:val="24"/>
      </w:rPr>
    </w:lvl>
    <w:lvl w:ilvl="7">
      <w:start w:val="1"/>
      <w:numFmt w:val="bullet"/>
      <w:lvlText w:val=""/>
      <w:lvlJc w:val="left"/>
      <w:pPr>
        <w:ind w:left="3240" w:hanging="360"/>
      </w:pPr>
      <w:rPr>
        <w:rFonts w:ascii="Arial"/>
        <w:b/>
        <w:i w:val="0"/>
        <w:strike w:val="0"/>
        <w:sz w:val="24"/>
      </w:rPr>
    </w:lvl>
    <w:lvl w:ilvl="8">
      <w:start w:val="1"/>
      <w:numFmt w:val="bullet"/>
      <w:lvlText w:val=""/>
      <w:lvlJc w:val="left"/>
      <w:pPr>
        <w:ind w:left="3600" w:hanging="360"/>
      </w:pPr>
      <w:rPr>
        <w:rFonts w:ascii="Arial"/>
        <w:b/>
        <w:i w:val="0"/>
        <w:strike w:val="0"/>
        <w:sz w:val="24"/>
      </w:rPr>
    </w:lvl>
  </w:abstractNum>
  <w:abstractNum w:abstractNumId="1" w15:restartNumberingAfterBreak="0">
    <w:nsid w:val="00000002"/>
    <w:multiLevelType w:val="multilevel"/>
    <w:tmpl w:val="FFFFFFFF"/>
    <w:lvl w:ilvl="0">
      <w:start w:val="1"/>
      <w:numFmt w:val="decimal"/>
      <w:lvlText w:val="%1)"/>
      <w:lvlJc w:val="left"/>
      <w:pPr>
        <w:ind w:left="360" w:hanging="360"/>
      </w:pPr>
      <w:rPr>
        <w:rFonts w:ascii="AytoRoquetas Light Condensed" w:hAnsi="AytoRoquetas Light Condensed" w:cs="Times New Roman"/>
        <w:b/>
        <w:i w:val="0"/>
        <w:strike w:val="0"/>
        <w:sz w:val="22"/>
      </w:rPr>
    </w:lvl>
    <w:lvl w:ilvl="1">
      <w:start w:val="1"/>
      <w:numFmt w:val="decimal"/>
      <w:lvlText w:val="%2)"/>
      <w:lvlJc w:val="left"/>
      <w:pPr>
        <w:ind w:left="720" w:hanging="360"/>
      </w:pPr>
      <w:rPr>
        <w:rFonts w:ascii="AytoRoquetas Light Condensed" w:hAnsi="AytoRoquetas Light Condensed" w:cs="Times New Roman"/>
        <w:b/>
        <w:i w:val="0"/>
        <w:strike w:val="0"/>
        <w:sz w:val="22"/>
      </w:rPr>
    </w:lvl>
    <w:lvl w:ilvl="2">
      <w:start w:val="1"/>
      <w:numFmt w:val="decimal"/>
      <w:lvlText w:val="%3)"/>
      <w:lvlJc w:val="left"/>
      <w:pPr>
        <w:ind w:left="1080" w:hanging="360"/>
      </w:pPr>
      <w:rPr>
        <w:rFonts w:ascii="AytoRoquetas Light Condensed" w:hAnsi="AytoRoquetas Light Condensed" w:cs="Times New Roman"/>
        <w:b/>
        <w:i w:val="0"/>
        <w:strike w:val="0"/>
        <w:sz w:val="22"/>
      </w:rPr>
    </w:lvl>
    <w:lvl w:ilvl="3">
      <w:start w:val="1"/>
      <w:numFmt w:val="decimal"/>
      <w:lvlText w:val="%4)"/>
      <w:lvlJc w:val="left"/>
      <w:pPr>
        <w:ind w:left="1440" w:hanging="360"/>
      </w:pPr>
      <w:rPr>
        <w:rFonts w:ascii="AytoRoquetas Light Condensed" w:hAnsi="AytoRoquetas Light Condensed" w:cs="Times New Roman"/>
        <w:b/>
        <w:i w:val="0"/>
        <w:strike w:val="0"/>
        <w:sz w:val="22"/>
      </w:rPr>
    </w:lvl>
    <w:lvl w:ilvl="4">
      <w:start w:val="1"/>
      <w:numFmt w:val="decimal"/>
      <w:lvlText w:val="%5)"/>
      <w:lvlJc w:val="left"/>
      <w:pPr>
        <w:ind w:left="1800" w:hanging="360"/>
      </w:pPr>
      <w:rPr>
        <w:rFonts w:ascii="AytoRoquetas Light Condensed" w:hAnsi="AytoRoquetas Light Condensed" w:cs="Times New Roman"/>
        <w:b/>
        <w:i w:val="0"/>
        <w:strike w:val="0"/>
        <w:sz w:val="22"/>
      </w:rPr>
    </w:lvl>
    <w:lvl w:ilvl="5">
      <w:start w:val="1"/>
      <w:numFmt w:val="decimal"/>
      <w:lvlText w:val="%6)"/>
      <w:lvlJc w:val="left"/>
      <w:pPr>
        <w:ind w:left="2160" w:hanging="360"/>
      </w:pPr>
      <w:rPr>
        <w:rFonts w:ascii="AytoRoquetas Light Condensed" w:hAnsi="AytoRoquetas Light Condensed" w:cs="Times New Roman"/>
        <w:b/>
        <w:i w:val="0"/>
        <w:strike w:val="0"/>
        <w:sz w:val="22"/>
      </w:rPr>
    </w:lvl>
    <w:lvl w:ilvl="6">
      <w:start w:val="1"/>
      <w:numFmt w:val="decimal"/>
      <w:lvlText w:val="%7)"/>
      <w:lvlJc w:val="left"/>
      <w:pPr>
        <w:ind w:left="2520" w:hanging="360"/>
      </w:pPr>
      <w:rPr>
        <w:rFonts w:ascii="AytoRoquetas Light Condensed" w:hAnsi="AytoRoquetas Light Condensed" w:cs="Times New Roman"/>
        <w:b/>
        <w:i w:val="0"/>
        <w:strike w:val="0"/>
        <w:sz w:val="22"/>
      </w:rPr>
    </w:lvl>
    <w:lvl w:ilvl="7">
      <w:start w:val="1"/>
      <w:numFmt w:val="decimal"/>
      <w:lvlText w:val="%8)"/>
      <w:lvlJc w:val="left"/>
      <w:pPr>
        <w:ind w:left="2880" w:hanging="360"/>
      </w:pPr>
      <w:rPr>
        <w:rFonts w:ascii="AytoRoquetas Light Condensed" w:hAnsi="AytoRoquetas Light Condensed" w:cs="Times New Roman"/>
        <w:b/>
        <w:i w:val="0"/>
        <w:strike w:val="0"/>
        <w:sz w:val="22"/>
      </w:rPr>
    </w:lvl>
    <w:lvl w:ilvl="8">
      <w:start w:val="1"/>
      <w:numFmt w:val="decimal"/>
      <w:lvlText w:val="%9)"/>
      <w:lvlJc w:val="left"/>
      <w:pPr>
        <w:ind w:left="3240" w:hanging="360"/>
      </w:pPr>
      <w:rPr>
        <w:rFonts w:ascii="AytoRoquetas Light Condensed" w:hAnsi="AytoRoquetas Light Condensed" w:cs="Times New Roman"/>
        <w:b/>
        <w:i w:val="0"/>
        <w:strike w:val="0"/>
        <w:sz w:val="22"/>
      </w:rPr>
    </w:lvl>
  </w:abstractNum>
  <w:num w:numId="1" w16cid:durableId="485781241">
    <w:abstractNumId w:val="0"/>
  </w:num>
  <w:num w:numId="2" w16cid:durableId="404835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9CB"/>
    <w:rsid w:val="00055305"/>
    <w:rsid w:val="0012546E"/>
    <w:rsid w:val="0036382A"/>
    <w:rsid w:val="003A1BED"/>
    <w:rsid w:val="0045195C"/>
    <w:rsid w:val="00491150"/>
    <w:rsid w:val="0057470C"/>
    <w:rsid w:val="007379CB"/>
    <w:rsid w:val="00910F39"/>
    <w:rsid w:val="00FB6E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6C35C"/>
  <w15:chartTrackingRefBased/>
  <w15:docId w15:val="{4AA37345-83D2-4215-B8C8-EE62D48FE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ytoRoquetas Light Condensed" w:eastAsiaTheme="minorHAnsi" w:hAnsi="AytoRoquetas Light Condensed"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46E"/>
    <w:pPr>
      <w:suppressAutoHyphens/>
      <w:autoSpaceDE w:val="0"/>
      <w:autoSpaceDN w:val="0"/>
      <w:adjustRightInd w:val="0"/>
      <w:spacing w:after="200" w:line="276" w:lineRule="auto"/>
    </w:pPr>
    <w:rPr>
      <w:rFonts w:ascii="Calibri" w:eastAsiaTheme="minorEastAsia" w:hAnsi="Calibri" w:cs="Tahoma"/>
      <w:kern w:val="1"/>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Contents">
    <w:name w:val="Table Contents"/>
    <w:basedOn w:val="Normal"/>
    <w:uiPriority w:val="99"/>
    <w:rsid w:val="007379CB"/>
    <w:pPr>
      <w:widowControl w:val="0"/>
      <w:suppressLineNumbers/>
      <w:suppressAutoHyphens w:val="0"/>
    </w:pPr>
    <w:rPr>
      <w:kern w:val="0"/>
      <w:lang w:eastAsia="es-ES" w:bidi="ar-SA"/>
    </w:rPr>
  </w:style>
  <w:style w:type="paragraph" w:customStyle="1" w:styleId="TableHeading">
    <w:name w:val="Table Heading"/>
    <w:basedOn w:val="TableContents"/>
    <w:uiPriority w:val="99"/>
    <w:rsid w:val="007379CB"/>
    <w:pPr>
      <w:jc w:val="center"/>
    </w:pPr>
    <w:rPr>
      <w:b/>
      <w:bCs/>
    </w:rPr>
  </w:style>
  <w:style w:type="paragraph" w:styleId="Encabezado">
    <w:name w:val="header"/>
    <w:basedOn w:val="Normal"/>
    <w:link w:val="EncabezadoCar"/>
    <w:uiPriority w:val="99"/>
    <w:unhideWhenUsed/>
    <w:rsid w:val="007379CB"/>
    <w:pPr>
      <w:tabs>
        <w:tab w:val="center" w:pos="4252"/>
        <w:tab w:val="right" w:pos="8504"/>
      </w:tabs>
      <w:spacing w:after="0" w:line="240" w:lineRule="auto"/>
    </w:pPr>
    <w:rPr>
      <w:rFonts w:cs="Mangal"/>
    </w:rPr>
  </w:style>
  <w:style w:type="character" w:customStyle="1" w:styleId="EncabezadoCar">
    <w:name w:val="Encabezado Car"/>
    <w:basedOn w:val="Fuentedeprrafopredeter"/>
    <w:link w:val="Encabezado"/>
    <w:uiPriority w:val="99"/>
    <w:rsid w:val="007379CB"/>
    <w:rPr>
      <w:rFonts w:ascii="Calibri" w:eastAsiaTheme="minorEastAsia" w:hAnsi="Calibri" w:cs="Mangal"/>
      <w:kern w:val="1"/>
      <w:szCs w:val="24"/>
      <w:lang w:eastAsia="zh-CN" w:bidi="hi-IN"/>
    </w:rPr>
  </w:style>
  <w:style w:type="paragraph" w:styleId="Piedepgina">
    <w:name w:val="footer"/>
    <w:basedOn w:val="Normal"/>
    <w:link w:val="PiedepginaCar"/>
    <w:uiPriority w:val="99"/>
    <w:unhideWhenUsed/>
    <w:rsid w:val="007379CB"/>
    <w:pPr>
      <w:tabs>
        <w:tab w:val="center" w:pos="4252"/>
        <w:tab w:val="right" w:pos="8504"/>
      </w:tabs>
      <w:spacing w:after="0" w:line="240" w:lineRule="auto"/>
    </w:pPr>
    <w:rPr>
      <w:rFonts w:cs="Mangal"/>
    </w:rPr>
  </w:style>
  <w:style w:type="character" w:customStyle="1" w:styleId="PiedepginaCar">
    <w:name w:val="Pie de página Car"/>
    <w:basedOn w:val="Fuentedeprrafopredeter"/>
    <w:link w:val="Piedepgina"/>
    <w:uiPriority w:val="99"/>
    <w:rsid w:val="007379CB"/>
    <w:rPr>
      <w:rFonts w:ascii="Calibri" w:eastAsiaTheme="minorEastAsia" w:hAnsi="Calibri" w:cs="Mangal"/>
      <w:kern w:val="1"/>
      <w:szCs w:val="24"/>
      <w:lang w:eastAsia="zh-CN" w:bidi="hi-IN"/>
    </w:rPr>
  </w:style>
  <w:style w:type="paragraph" w:styleId="Prrafodelista">
    <w:name w:val="List Paragraph"/>
    <w:basedOn w:val="Normal"/>
    <w:uiPriority w:val="34"/>
    <w:qFormat/>
    <w:rsid w:val="003A1BED"/>
    <w:pPr>
      <w:ind w:left="720"/>
      <w:contextualSpacing/>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2694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2</cp:revision>
  <dcterms:created xsi:type="dcterms:W3CDTF">2023-04-17T13:28:00Z</dcterms:created>
  <dcterms:modified xsi:type="dcterms:W3CDTF">2023-04-17T13:28:00Z</dcterms:modified>
</cp:coreProperties>
</file>