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3B42" w14:textId="77777777" w:rsidR="002F4229" w:rsidRPr="00213E47" w:rsidRDefault="002F4229" w:rsidP="005D0659">
      <w:pPr>
        <w:jc w:val="both"/>
        <w:rPr>
          <w:rFonts w:ascii="AytoRoquetas Light Condensed" w:hAnsi="AytoRoquetas Light Condensed" w:cs="Arial"/>
          <w:color w:val="FF0000"/>
          <w:sz w:val="20"/>
          <w:szCs w:val="20"/>
        </w:rPr>
      </w:pPr>
    </w:p>
    <w:p w14:paraId="08E01B85" w14:textId="77777777" w:rsidR="002F4229" w:rsidRPr="00213E47" w:rsidRDefault="002F4229" w:rsidP="005D0659">
      <w:pPr>
        <w:jc w:val="both"/>
        <w:rPr>
          <w:rFonts w:ascii="AytoRoquetas Light Condensed" w:hAnsi="AytoRoquetas Light Condensed" w:cs="Arial"/>
          <w:color w:val="FF0000"/>
          <w:sz w:val="20"/>
          <w:szCs w:val="20"/>
        </w:rPr>
      </w:pPr>
    </w:p>
    <w:p w14:paraId="5EE9DAA1" w14:textId="77777777" w:rsidR="002F4229" w:rsidRPr="00213E47" w:rsidRDefault="002F4229" w:rsidP="005D0659">
      <w:pPr>
        <w:jc w:val="both"/>
        <w:rPr>
          <w:rFonts w:ascii="AytoRoquetas Light Condensed" w:hAnsi="AytoRoquetas Light Condensed" w:cs="Arial"/>
          <w:color w:val="FF0000"/>
          <w:sz w:val="20"/>
          <w:szCs w:val="20"/>
        </w:rPr>
      </w:pPr>
    </w:p>
    <w:p w14:paraId="6CDBE10C" w14:textId="72AFE6FD" w:rsidR="002F4229" w:rsidRPr="00213E47" w:rsidRDefault="002F4229" w:rsidP="005D0659">
      <w:pPr>
        <w:jc w:val="both"/>
        <w:rPr>
          <w:rFonts w:ascii="AytoRoquetas Light Condensed" w:hAnsi="AytoRoquetas Light Condensed" w:cs="Arial"/>
          <w:color w:val="FF0000"/>
          <w:sz w:val="20"/>
          <w:szCs w:val="20"/>
        </w:rPr>
      </w:pPr>
    </w:p>
    <w:p w14:paraId="4DEA324D" w14:textId="1BE3C167" w:rsidR="002F4229" w:rsidRPr="00213E47" w:rsidRDefault="002F4229" w:rsidP="005D0659">
      <w:pPr>
        <w:jc w:val="both"/>
        <w:rPr>
          <w:rFonts w:ascii="AytoRoquetas Light Condensed" w:hAnsi="AytoRoquetas Light Condensed" w:cs="Arial"/>
          <w:color w:val="FF0000"/>
          <w:sz w:val="20"/>
          <w:szCs w:val="20"/>
        </w:rPr>
      </w:pPr>
    </w:p>
    <w:p w14:paraId="749649F2" w14:textId="40B7193C" w:rsidR="002F4229" w:rsidRPr="00213E47" w:rsidRDefault="002F4229" w:rsidP="005D0659">
      <w:pPr>
        <w:jc w:val="both"/>
        <w:rPr>
          <w:rFonts w:ascii="AytoRoquetas Light Condensed" w:hAnsi="AytoRoquetas Light Condensed" w:cs="Arial"/>
          <w:color w:val="FF0000"/>
          <w:sz w:val="20"/>
          <w:szCs w:val="20"/>
        </w:rPr>
      </w:pPr>
    </w:p>
    <w:p w14:paraId="3FB443ED" w14:textId="4DDE57B8" w:rsidR="002F4229" w:rsidRPr="00213E47" w:rsidRDefault="002F4229" w:rsidP="005D0659">
      <w:pPr>
        <w:jc w:val="both"/>
        <w:rPr>
          <w:rFonts w:ascii="AytoRoquetas Light Condensed" w:hAnsi="AytoRoquetas Light Condensed" w:cs="Arial"/>
          <w:color w:val="FF0000"/>
          <w:sz w:val="20"/>
          <w:szCs w:val="20"/>
        </w:rPr>
      </w:pPr>
    </w:p>
    <w:p w14:paraId="400ED2AE" w14:textId="523248AB" w:rsidR="002F4229" w:rsidRPr="00213E47" w:rsidRDefault="002F4229" w:rsidP="005D0659">
      <w:pPr>
        <w:jc w:val="both"/>
        <w:rPr>
          <w:rFonts w:ascii="AytoRoquetas Light Condensed" w:hAnsi="AytoRoquetas Light Condensed" w:cs="Arial"/>
          <w:color w:val="FF0000"/>
          <w:sz w:val="20"/>
          <w:szCs w:val="20"/>
        </w:rPr>
      </w:pPr>
    </w:p>
    <w:p w14:paraId="290836A1" w14:textId="2EA13427" w:rsidR="002F4229" w:rsidRPr="00213E47" w:rsidRDefault="002F4229" w:rsidP="005D0659">
      <w:pPr>
        <w:jc w:val="both"/>
        <w:rPr>
          <w:rFonts w:ascii="AytoRoquetas Light Condensed" w:hAnsi="AytoRoquetas Light Condensed" w:cs="Arial"/>
          <w:color w:val="FF0000"/>
          <w:sz w:val="20"/>
          <w:szCs w:val="20"/>
        </w:rPr>
      </w:pPr>
    </w:p>
    <w:p w14:paraId="12EB4927" w14:textId="77777777" w:rsidR="005D0659" w:rsidRPr="00213E47" w:rsidRDefault="005D0659" w:rsidP="005D0659">
      <w:pPr>
        <w:pStyle w:val="Encabezado"/>
        <w:tabs>
          <w:tab w:val="clear" w:pos="4252"/>
          <w:tab w:val="left" w:pos="1440"/>
        </w:tabs>
        <w:jc w:val="center"/>
        <w:rPr>
          <w:rFonts w:ascii="AytoRoquetas Light Condensed" w:hAnsi="AytoRoquetas Light Condensed" w:cs="Arial"/>
          <w:sz w:val="20"/>
          <w:szCs w:val="20"/>
        </w:rPr>
      </w:pPr>
    </w:p>
    <w:p w14:paraId="50FE2FC3" w14:textId="77777777" w:rsidR="004C3976" w:rsidRPr="005D0659" w:rsidRDefault="004C3976" w:rsidP="004C3976">
      <w:pPr>
        <w:pStyle w:val="Encabezado"/>
        <w:tabs>
          <w:tab w:val="clear" w:pos="4252"/>
          <w:tab w:val="left" w:pos="1440"/>
        </w:tabs>
        <w:jc w:val="center"/>
        <w:rPr>
          <w:rFonts w:ascii="Arial" w:hAnsi="Arial" w:cs="Arial"/>
          <w:sz w:val="60"/>
          <w:szCs w:val="60"/>
        </w:rPr>
      </w:pPr>
      <w:r w:rsidRPr="005D0659">
        <w:rPr>
          <w:rFonts w:ascii="Arial" w:hAnsi="Arial" w:cs="Arial"/>
          <w:sz w:val="60"/>
          <w:szCs w:val="60"/>
        </w:rPr>
        <w:t>Consorcio Gestión Servicios Integrados Abastecimiento aguas y Saneamiento del Poniente</w:t>
      </w:r>
    </w:p>
    <w:p w14:paraId="427B31BE" w14:textId="77777777" w:rsidR="004C3976" w:rsidRPr="005D0659" w:rsidRDefault="004C3976" w:rsidP="004C3976">
      <w:pPr>
        <w:pStyle w:val="Ttulo2"/>
        <w:ind w:left="0" w:firstLine="0"/>
        <w:jc w:val="center"/>
        <w:rPr>
          <w:rFonts w:ascii="Arial" w:hAnsi="Arial" w:cs="Arial"/>
          <w:sz w:val="60"/>
          <w:szCs w:val="60"/>
          <w:u w:val="none"/>
        </w:rPr>
      </w:pPr>
    </w:p>
    <w:p w14:paraId="0B302111" w14:textId="49A01E4A" w:rsidR="004C3976" w:rsidRPr="005D0659" w:rsidRDefault="004C3976" w:rsidP="004C3976">
      <w:pPr>
        <w:pStyle w:val="Ttulo2"/>
        <w:ind w:left="0" w:firstLine="0"/>
        <w:jc w:val="center"/>
        <w:rPr>
          <w:rFonts w:ascii="Arial" w:hAnsi="Arial" w:cs="Arial"/>
          <w:sz w:val="60"/>
          <w:szCs w:val="60"/>
          <w:u w:val="none"/>
        </w:rPr>
      </w:pPr>
      <w:r w:rsidRPr="005D0659">
        <w:rPr>
          <w:rFonts w:ascii="Arial" w:hAnsi="Arial" w:cs="Arial"/>
          <w:sz w:val="60"/>
          <w:szCs w:val="60"/>
          <w:u w:val="none"/>
        </w:rPr>
        <w:t>MEMORIA 202</w:t>
      </w:r>
      <w:r>
        <w:rPr>
          <w:rFonts w:ascii="Arial" w:hAnsi="Arial" w:cs="Arial"/>
          <w:sz w:val="60"/>
          <w:szCs w:val="60"/>
          <w:u w:val="none"/>
        </w:rPr>
        <w:t>2</w:t>
      </w:r>
    </w:p>
    <w:p w14:paraId="507130E3" w14:textId="77777777" w:rsidR="004C3976" w:rsidRPr="005D0659" w:rsidRDefault="004C3976" w:rsidP="004C3976">
      <w:pPr>
        <w:jc w:val="both"/>
        <w:rPr>
          <w:rFonts w:ascii="Arial" w:hAnsi="Arial" w:cs="Arial"/>
          <w:sz w:val="60"/>
          <w:szCs w:val="60"/>
        </w:rPr>
      </w:pPr>
    </w:p>
    <w:p w14:paraId="0ADC4A25" w14:textId="40152CE8" w:rsidR="002F4229" w:rsidRPr="00213E47" w:rsidRDefault="002F4229" w:rsidP="005D0659">
      <w:pPr>
        <w:jc w:val="both"/>
        <w:rPr>
          <w:rFonts w:ascii="AytoRoquetas Light Condensed" w:hAnsi="AytoRoquetas Light Condensed" w:cs="Arial"/>
          <w:sz w:val="20"/>
          <w:szCs w:val="20"/>
        </w:rPr>
      </w:pPr>
    </w:p>
    <w:p w14:paraId="0768945B" w14:textId="521012E4" w:rsidR="002F4229" w:rsidRPr="00213E47" w:rsidRDefault="002F4229" w:rsidP="005D0659">
      <w:pPr>
        <w:jc w:val="both"/>
        <w:rPr>
          <w:rFonts w:ascii="AytoRoquetas Light Condensed" w:hAnsi="AytoRoquetas Light Condensed" w:cs="Arial"/>
          <w:sz w:val="20"/>
          <w:szCs w:val="20"/>
        </w:rPr>
      </w:pPr>
    </w:p>
    <w:p w14:paraId="4DB198A2" w14:textId="21FB90C6" w:rsidR="002F4229" w:rsidRPr="00213E47" w:rsidRDefault="002F4229" w:rsidP="005D0659">
      <w:pPr>
        <w:jc w:val="both"/>
        <w:rPr>
          <w:rFonts w:ascii="AytoRoquetas Light Condensed" w:hAnsi="AytoRoquetas Light Condensed" w:cs="Arial"/>
          <w:sz w:val="20"/>
          <w:szCs w:val="20"/>
        </w:rPr>
      </w:pPr>
    </w:p>
    <w:p w14:paraId="4AEDCAE7" w14:textId="1F8DEAFE" w:rsidR="00B632C1" w:rsidRPr="00213E47" w:rsidRDefault="00B632C1" w:rsidP="005D0659">
      <w:pPr>
        <w:jc w:val="both"/>
        <w:rPr>
          <w:rFonts w:ascii="AytoRoquetas Light Condensed" w:hAnsi="AytoRoquetas Light Condensed" w:cs="Arial"/>
          <w:sz w:val="20"/>
          <w:szCs w:val="20"/>
        </w:rPr>
      </w:pPr>
    </w:p>
    <w:p w14:paraId="227CDB68" w14:textId="2AF9E30C" w:rsidR="00B632C1" w:rsidRPr="00213E47" w:rsidRDefault="00B632C1" w:rsidP="005D0659">
      <w:pPr>
        <w:jc w:val="both"/>
        <w:rPr>
          <w:rFonts w:ascii="AytoRoquetas Light Condensed" w:hAnsi="AytoRoquetas Light Condensed" w:cs="Arial"/>
          <w:sz w:val="20"/>
          <w:szCs w:val="20"/>
        </w:rPr>
      </w:pPr>
    </w:p>
    <w:p w14:paraId="4F881B06" w14:textId="3381A2F3" w:rsidR="00B632C1" w:rsidRPr="00213E47" w:rsidRDefault="00B632C1" w:rsidP="005D0659">
      <w:pPr>
        <w:jc w:val="both"/>
        <w:rPr>
          <w:rFonts w:ascii="AytoRoquetas Light Condensed" w:hAnsi="AytoRoquetas Light Condensed" w:cs="Arial"/>
          <w:sz w:val="20"/>
          <w:szCs w:val="20"/>
        </w:rPr>
      </w:pPr>
    </w:p>
    <w:p w14:paraId="0F552217" w14:textId="50098FB7" w:rsidR="00B632C1" w:rsidRPr="00213E47" w:rsidRDefault="00B632C1" w:rsidP="005D0659">
      <w:pPr>
        <w:jc w:val="both"/>
        <w:rPr>
          <w:rFonts w:ascii="AytoRoquetas Light Condensed" w:hAnsi="AytoRoquetas Light Condensed" w:cs="Arial"/>
          <w:sz w:val="20"/>
          <w:szCs w:val="20"/>
        </w:rPr>
      </w:pPr>
    </w:p>
    <w:p w14:paraId="19DB44A3" w14:textId="0BE4DCF0" w:rsidR="00B632C1" w:rsidRPr="00213E47" w:rsidRDefault="00B632C1" w:rsidP="005D0659">
      <w:pPr>
        <w:jc w:val="both"/>
        <w:rPr>
          <w:rFonts w:ascii="AytoRoquetas Light Condensed" w:hAnsi="AytoRoquetas Light Condensed" w:cs="Arial"/>
          <w:sz w:val="20"/>
          <w:szCs w:val="20"/>
        </w:rPr>
      </w:pPr>
    </w:p>
    <w:p w14:paraId="65FC8DBF" w14:textId="24D6B8D2" w:rsidR="00B632C1" w:rsidRPr="00213E47" w:rsidRDefault="00B632C1" w:rsidP="005D0659">
      <w:pPr>
        <w:jc w:val="both"/>
        <w:rPr>
          <w:rFonts w:ascii="AytoRoquetas Light Condensed" w:hAnsi="AytoRoquetas Light Condensed" w:cs="Arial"/>
          <w:sz w:val="20"/>
          <w:szCs w:val="20"/>
        </w:rPr>
      </w:pPr>
    </w:p>
    <w:p w14:paraId="5C7D215C" w14:textId="4775B4CB" w:rsidR="00B632C1" w:rsidRPr="00213E47" w:rsidRDefault="00B632C1" w:rsidP="005D0659">
      <w:pPr>
        <w:jc w:val="both"/>
        <w:rPr>
          <w:rFonts w:ascii="AytoRoquetas Light Condensed" w:hAnsi="AytoRoquetas Light Condensed" w:cs="Arial"/>
          <w:sz w:val="20"/>
          <w:szCs w:val="20"/>
        </w:rPr>
      </w:pPr>
    </w:p>
    <w:p w14:paraId="09A59894" w14:textId="30DB2E86" w:rsidR="00B632C1" w:rsidRPr="00213E47" w:rsidRDefault="00B632C1" w:rsidP="005D0659">
      <w:pPr>
        <w:jc w:val="both"/>
        <w:rPr>
          <w:rFonts w:ascii="AytoRoquetas Light Condensed" w:hAnsi="AytoRoquetas Light Condensed" w:cs="Arial"/>
          <w:sz w:val="20"/>
          <w:szCs w:val="20"/>
        </w:rPr>
      </w:pPr>
    </w:p>
    <w:p w14:paraId="63948C77" w14:textId="54DD9D80" w:rsidR="00B632C1" w:rsidRPr="00213E47" w:rsidRDefault="00B632C1" w:rsidP="005D0659">
      <w:pPr>
        <w:jc w:val="both"/>
        <w:rPr>
          <w:rFonts w:ascii="AytoRoquetas Light Condensed" w:hAnsi="AytoRoquetas Light Condensed" w:cs="Arial"/>
          <w:sz w:val="20"/>
          <w:szCs w:val="20"/>
        </w:rPr>
      </w:pPr>
    </w:p>
    <w:p w14:paraId="54F02365" w14:textId="1B8AC91D" w:rsidR="00B632C1" w:rsidRPr="00213E47" w:rsidRDefault="00B632C1" w:rsidP="005D0659">
      <w:pPr>
        <w:jc w:val="both"/>
        <w:rPr>
          <w:rFonts w:ascii="AytoRoquetas Light Condensed" w:hAnsi="AytoRoquetas Light Condensed" w:cs="Arial"/>
          <w:sz w:val="20"/>
          <w:szCs w:val="20"/>
        </w:rPr>
      </w:pPr>
    </w:p>
    <w:p w14:paraId="365214D5" w14:textId="05F60B2C" w:rsidR="00B632C1" w:rsidRPr="00213E47" w:rsidRDefault="00B632C1" w:rsidP="005D0659">
      <w:pPr>
        <w:jc w:val="both"/>
        <w:rPr>
          <w:rFonts w:ascii="AytoRoquetas Light Condensed" w:hAnsi="AytoRoquetas Light Condensed" w:cs="Arial"/>
          <w:sz w:val="20"/>
          <w:szCs w:val="20"/>
        </w:rPr>
      </w:pPr>
    </w:p>
    <w:p w14:paraId="4B1737A7" w14:textId="77777777" w:rsidR="00B632C1" w:rsidRPr="00213E47" w:rsidRDefault="00B632C1" w:rsidP="005D0659">
      <w:pPr>
        <w:jc w:val="both"/>
        <w:rPr>
          <w:rFonts w:ascii="AytoRoquetas Light Condensed" w:hAnsi="AytoRoquetas Light Condensed" w:cs="Arial"/>
          <w:sz w:val="20"/>
          <w:szCs w:val="20"/>
        </w:rPr>
      </w:pPr>
    </w:p>
    <w:p w14:paraId="36C98B43" w14:textId="6CF062A7" w:rsidR="005D0659" w:rsidRPr="00213E47" w:rsidRDefault="005D0659" w:rsidP="005D0659">
      <w:pPr>
        <w:jc w:val="both"/>
        <w:rPr>
          <w:rFonts w:ascii="AytoRoquetas Light Condensed" w:hAnsi="AytoRoquetas Light Condensed" w:cs="Arial"/>
          <w:sz w:val="20"/>
          <w:szCs w:val="20"/>
        </w:rPr>
      </w:pPr>
    </w:p>
    <w:p w14:paraId="5D058E49" w14:textId="39307CD5" w:rsidR="005D0659" w:rsidRPr="00213E47" w:rsidRDefault="005D0659" w:rsidP="005D0659">
      <w:pPr>
        <w:jc w:val="both"/>
        <w:rPr>
          <w:rFonts w:ascii="AytoRoquetas Light Condensed" w:hAnsi="AytoRoquetas Light Condensed" w:cs="Arial"/>
          <w:sz w:val="20"/>
          <w:szCs w:val="20"/>
        </w:rPr>
      </w:pPr>
    </w:p>
    <w:p w14:paraId="1431C9F4" w14:textId="77777777" w:rsidR="005D0659" w:rsidRPr="00213E47" w:rsidRDefault="005D0659" w:rsidP="005D0659">
      <w:pPr>
        <w:jc w:val="both"/>
        <w:rPr>
          <w:rFonts w:ascii="AytoRoquetas Light Condensed" w:hAnsi="AytoRoquetas Light Condensed" w:cs="Arial"/>
          <w:sz w:val="20"/>
          <w:szCs w:val="20"/>
        </w:rPr>
      </w:pPr>
    </w:p>
    <w:p w14:paraId="7FBBD397" w14:textId="63B147E8" w:rsidR="002F4229" w:rsidRPr="00213E47" w:rsidRDefault="002F4229" w:rsidP="005D0659">
      <w:pPr>
        <w:jc w:val="both"/>
        <w:rPr>
          <w:rFonts w:ascii="AytoRoquetas Light Condensed" w:hAnsi="AytoRoquetas Light Condensed" w:cs="Arial"/>
          <w:sz w:val="20"/>
          <w:szCs w:val="20"/>
        </w:rPr>
      </w:pPr>
    </w:p>
    <w:p w14:paraId="23207975" w14:textId="2FE03FBE" w:rsidR="002F4229" w:rsidRPr="00213E47" w:rsidRDefault="002F4229" w:rsidP="005D0659">
      <w:pPr>
        <w:jc w:val="both"/>
        <w:rPr>
          <w:rFonts w:ascii="AytoRoquetas Light Condensed" w:hAnsi="AytoRoquetas Light Condensed" w:cs="Arial"/>
          <w:sz w:val="20"/>
          <w:szCs w:val="20"/>
        </w:rPr>
      </w:pPr>
    </w:p>
    <w:p w14:paraId="48FA2561" w14:textId="3F78CD69" w:rsidR="002F4229" w:rsidRPr="00213E47" w:rsidRDefault="002F4229" w:rsidP="005D0659">
      <w:pPr>
        <w:jc w:val="both"/>
        <w:rPr>
          <w:rFonts w:ascii="AytoRoquetas Light Condensed" w:hAnsi="AytoRoquetas Light Condensed" w:cs="Arial"/>
          <w:sz w:val="20"/>
          <w:szCs w:val="20"/>
        </w:rPr>
      </w:pPr>
    </w:p>
    <w:p w14:paraId="012D3333"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4F265537"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72B443F4"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79EFD6D1"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03DE939C"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58ADFDA8"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589930D7" w14:textId="77777777" w:rsidR="004C3976" w:rsidRDefault="004C3976" w:rsidP="005D0659">
      <w:pPr>
        <w:tabs>
          <w:tab w:val="right" w:leader="dot" w:pos="8364"/>
        </w:tabs>
        <w:jc w:val="both"/>
        <w:rPr>
          <w:rFonts w:ascii="AytoRoquetas Light Condensed" w:hAnsi="AytoRoquetas Light Condensed" w:cs="Arial"/>
          <w:b/>
          <w:kern w:val="28"/>
          <w:sz w:val="20"/>
          <w:szCs w:val="20"/>
          <w:u w:val="single"/>
        </w:rPr>
      </w:pPr>
    </w:p>
    <w:p w14:paraId="4EE7BB2F" w14:textId="3A794001" w:rsidR="002F4229" w:rsidRPr="00213E47" w:rsidRDefault="00026393" w:rsidP="005D0659">
      <w:pPr>
        <w:tabs>
          <w:tab w:val="right" w:leader="dot" w:pos="8364"/>
        </w:tabs>
        <w:jc w:val="both"/>
        <w:rPr>
          <w:rFonts w:ascii="AytoRoquetas Light Condensed" w:hAnsi="AytoRoquetas Light Condensed" w:cs="Arial"/>
          <w:b/>
          <w:kern w:val="28"/>
          <w:sz w:val="20"/>
          <w:szCs w:val="20"/>
          <w:u w:val="single"/>
        </w:rPr>
      </w:pPr>
      <w:r w:rsidRPr="00213E47">
        <w:rPr>
          <w:rFonts w:ascii="AytoRoquetas Light Condensed" w:hAnsi="AytoRoquetas Light Condensed" w:cs="Arial"/>
          <w:b/>
          <w:kern w:val="28"/>
          <w:sz w:val="20"/>
          <w:szCs w:val="20"/>
          <w:u w:val="single"/>
        </w:rPr>
        <w:t>1. ORGANIZACIÓN Y ACTIVIDAD</w:t>
      </w:r>
    </w:p>
    <w:p w14:paraId="48A38A9B" w14:textId="62B93B6B" w:rsidR="00EB2EFC" w:rsidRPr="00213E47" w:rsidRDefault="00EB2EFC" w:rsidP="005D0659">
      <w:pPr>
        <w:tabs>
          <w:tab w:val="right" w:leader="dot" w:pos="8364"/>
        </w:tabs>
        <w:jc w:val="both"/>
        <w:rPr>
          <w:rFonts w:ascii="AytoRoquetas Light Condensed" w:hAnsi="AytoRoquetas Light Condensed" w:cs="Arial"/>
          <w:b/>
          <w:kern w:val="28"/>
          <w:sz w:val="20"/>
          <w:szCs w:val="20"/>
          <w:u w:val="single"/>
        </w:rPr>
      </w:pPr>
    </w:p>
    <w:p w14:paraId="1392BD49" w14:textId="0EB88EC5" w:rsidR="00CF67AA"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El Consorcio para la gestión de los servicios integrados de abastecimiento de aguas y saneamiento de los Municipios del Poniente almeriense está integrado por los Ayuntamientos de Adra,</w:t>
      </w:r>
      <w:r w:rsidR="00296AB7" w:rsidRPr="00213E47">
        <w:rPr>
          <w:rFonts w:ascii="AytoRoquetas Light Condensed" w:hAnsi="AytoRoquetas Light Condensed" w:cs="Arial"/>
          <w:sz w:val="20"/>
          <w:szCs w:val="20"/>
        </w:rPr>
        <w:t xml:space="preserve"> Balanegra,</w:t>
      </w:r>
      <w:r w:rsidRPr="00213E47">
        <w:rPr>
          <w:rFonts w:ascii="AytoRoquetas Light Condensed" w:hAnsi="AytoRoquetas Light Condensed" w:cs="Arial"/>
          <w:sz w:val="20"/>
          <w:szCs w:val="20"/>
        </w:rPr>
        <w:t xml:space="preserve"> El Ejido, Dalías, </w:t>
      </w:r>
      <w:r w:rsidR="00296AB7" w:rsidRPr="00213E47">
        <w:rPr>
          <w:rFonts w:ascii="AytoRoquetas Light Condensed" w:hAnsi="AytoRoquetas Light Condensed" w:cs="Arial"/>
          <w:sz w:val="20"/>
          <w:szCs w:val="20"/>
        </w:rPr>
        <w:t xml:space="preserve">El Ejido, Enix, Felix, La Mojonera, Roquetas de Mar, Vícar </w:t>
      </w:r>
      <w:r w:rsidRPr="00213E47">
        <w:rPr>
          <w:rFonts w:ascii="AytoRoquetas Light Condensed" w:hAnsi="AytoRoquetas Light Condensed" w:cs="Arial"/>
          <w:sz w:val="20"/>
          <w:szCs w:val="20"/>
        </w:rPr>
        <w:t>y la Excma. Diputación Provincial de Almería</w:t>
      </w:r>
      <w:r w:rsidR="00CF67AA" w:rsidRPr="00213E47">
        <w:rPr>
          <w:rFonts w:ascii="AytoRoquetas Light Condensed" w:hAnsi="AytoRoquetas Light Condensed" w:cs="Arial"/>
          <w:sz w:val="20"/>
          <w:szCs w:val="20"/>
        </w:rPr>
        <w:t>.</w:t>
      </w:r>
      <w:r w:rsidRPr="00213E47">
        <w:rPr>
          <w:rFonts w:ascii="AytoRoquetas Light Condensed" w:hAnsi="AytoRoquetas Light Condensed" w:cs="Arial"/>
          <w:sz w:val="20"/>
          <w:szCs w:val="20"/>
        </w:rPr>
        <w:t xml:space="preserve"> </w:t>
      </w:r>
      <w:r w:rsidR="00CF67AA" w:rsidRPr="00213E47">
        <w:rPr>
          <w:rFonts w:ascii="AytoRoquetas Light Condensed" w:hAnsi="AytoRoquetas Light Condensed" w:cs="Arial"/>
          <w:sz w:val="20"/>
          <w:szCs w:val="20"/>
        </w:rPr>
        <w:t>Con efectos de 1 de enero de 2005, el Municipio de Berja causó baja tras formar parte del mismo desde su constitución</w:t>
      </w:r>
      <w:r w:rsidR="00291829" w:rsidRPr="00213E47">
        <w:rPr>
          <w:rFonts w:ascii="AytoRoquetas Light Condensed" w:hAnsi="AytoRoquetas Light Condensed" w:cs="Arial"/>
          <w:sz w:val="20"/>
          <w:szCs w:val="20"/>
        </w:rPr>
        <w:t>.</w:t>
      </w:r>
    </w:p>
    <w:p w14:paraId="5949E1C6" w14:textId="02674A57" w:rsidR="00291829" w:rsidRPr="00213E47" w:rsidRDefault="00291829" w:rsidP="005D0659">
      <w:pPr>
        <w:jc w:val="both"/>
        <w:rPr>
          <w:rFonts w:ascii="AytoRoquetas Light Condensed" w:hAnsi="AytoRoquetas Light Condensed" w:cs="Arial"/>
          <w:sz w:val="20"/>
          <w:szCs w:val="20"/>
        </w:rPr>
      </w:pPr>
    </w:p>
    <w:p w14:paraId="4F9BA42D" w14:textId="42B58B73" w:rsidR="00291829" w:rsidRPr="00213E47" w:rsidRDefault="00291829"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Se publican en BOJA núm. 27, de 7 de febrero de 2013, modificación de los estatutos del Consorcio para su adecuación a la Ley 5/2010, de Autonomía Local de Andalucía y la Ley 9/2010, de Aguas para Andalucía. </w:t>
      </w:r>
    </w:p>
    <w:p w14:paraId="55A96B16" w14:textId="77777777" w:rsidR="00CF67AA" w:rsidRPr="00213E47" w:rsidRDefault="00CF67AA" w:rsidP="005D0659">
      <w:pPr>
        <w:jc w:val="both"/>
        <w:rPr>
          <w:rFonts w:ascii="AytoRoquetas Light Condensed" w:hAnsi="AytoRoquetas Light Condensed" w:cs="Arial"/>
          <w:sz w:val="20"/>
          <w:szCs w:val="20"/>
        </w:rPr>
      </w:pPr>
    </w:p>
    <w:p w14:paraId="5C3517C0" w14:textId="604DC8CD" w:rsidR="00CF67AA"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La sesión constitutiva del Consorcio data de 15 de noviembre de 1990. </w:t>
      </w:r>
    </w:p>
    <w:p w14:paraId="231D4CAC" w14:textId="3613210D" w:rsidR="00D9615B" w:rsidRPr="00213E47" w:rsidRDefault="00D9615B" w:rsidP="005D0659">
      <w:pPr>
        <w:jc w:val="both"/>
        <w:rPr>
          <w:rFonts w:ascii="AytoRoquetas Light Condensed" w:hAnsi="AytoRoquetas Light Condensed" w:cs="Arial"/>
          <w:sz w:val="20"/>
          <w:szCs w:val="20"/>
        </w:rPr>
      </w:pPr>
    </w:p>
    <w:p w14:paraId="6940F09C" w14:textId="77777777" w:rsidR="00CF67AA" w:rsidRPr="00213E47" w:rsidRDefault="00CF67AA" w:rsidP="005D0659">
      <w:pPr>
        <w:jc w:val="both"/>
        <w:rPr>
          <w:rFonts w:ascii="AytoRoquetas Light Condensed" w:hAnsi="AytoRoquetas Light Condensed" w:cs="Arial"/>
          <w:color w:val="FF0000"/>
          <w:sz w:val="20"/>
          <w:szCs w:val="20"/>
        </w:rPr>
      </w:pPr>
    </w:p>
    <w:p w14:paraId="0D4DA686" w14:textId="708B085C" w:rsidR="00EB2EFC" w:rsidRPr="00213E47" w:rsidRDefault="00CF67AA" w:rsidP="005D0659">
      <w:pPr>
        <w:jc w:val="both"/>
        <w:rPr>
          <w:rFonts w:ascii="AytoRoquetas Light Condensed" w:hAnsi="AytoRoquetas Light Condensed" w:cs="Arial"/>
          <w:color w:val="FF0000"/>
          <w:sz w:val="20"/>
          <w:szCs w:val="20"/>
        </w:rPr>
      </w:pPr>
      <w:r w:rsidRPr="00213E47">
        <w:rPr>
          <w:rFonts w:ascii="AytoRoquetas Light Condensed" w:hAnsi="AytoRoquetas Light Condensed" w:cs="Arial"/>
          <w:sz w:val="20"/>
          <w:szCs w:val="20"/>
        </w:rPr>
        <w:t>A fecha de 01/01/202</w:t>
      </w:r>
      <w:r w:rsidR="00740253" w:rsidRPr="00213E47">
        <w:rPr>
          <w:rFonts w:ascii="AytoRoquetas Light Condensed" w:hAnsi="AytoRoquetas Light Condensed" w:cs="Arial"/>
          <w:sz w:val="20"/>
          <w:szCs w:val="20"/>
        </w:rPr>
        <w:t>2</w:t>
      </w:r>
      <w:r w:rsidRPr="00213E47">
        <w:rPr>
          <w:rFonts w:ascii="AytoRoquetas Light Condensed" w:hAnsi="AytoRoquetas Light Condensed" w:cs="Arial"/>
          <w:sz w:val="20"/>
          <w:szCs w:val="20"/>
        </w:rPr>
        <w:t>, el detalle de población de las Entidades Locales consorciadas es el siguiente</w:t>
      </w:r>
      <w:r w:rsidRPr="00213E47">
        <w:rPr>
          <w:rFonts w:ascii="AytoRoquetas Light Condensed" w:hAnsi="AytoRoquetas Light Condensed" w:cs="Arial"/>
          <w:color w:val="FF0000"/>
          <w:sz w:val="20"/>
          <w:szCs w:val="20"/>
        </w:rPr>
        <w:t>:</w:t>
      </w:r>
    </w:p>
    <w:p w14:paraId="36366FDC" w14:textId="616E1819" w:rsidR="00CF67AA" w:rsidRPr="00213E47" w:rsidRDefault="00CF67AA" w:rsidP="005D0659">
      <w:pPr>
        <w:jc w:val="both"/>
        <w:rPr>
          <w:rFonts w:ascii="AytoRoquetas Light Condensed" w:hAnsi="AytoRoquetas Light Condensed" w:cs="Arial"/>
          <w:color w:val="FF0000"/>
          <w:sz w:val="20"/>
          <w:szCs w:val="20"/>
        </w:rPr>
      </w:pPr>
    </w:p>
    <w:tbl>
      <w:tblPr>
        <w:tblW w:w="5000" w:type="pct"/>
        <w:tblCellMar>
          <w:left w:w="70" w:type="dxa"/>
          <w:right w:w="70" w:type="dxa"/>
        </w:tblCellMar>
        <w:tblLook w:val="04A0" w:firstRow="1" w:lastRow="0" w:firstColumn="1" w:lastColumn="0" w:noHBand="0" w:noVBand="1"/>
      </w:tblPr>
      <w:tblGrid>
        <w:gridCol w:w="5441"/>
        <w:gridCol w:w="3854"/>
      </w:tblGrid>
      <w:tr w:rsidR="00740253" w:rsidRPr="00213E47" w14:paraId="7CBFC158" w14:textId="77777777" w:rsidTr="00CF67AA">
        <w:trPr>
          <w:trHeight w:val="300"/>
        </w:trPr>
        <w:tc>
          <w:tcPr>
            <w:tcW w:w="2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0161B" w14:textId="77777777" w:rsidR="00CF67AA" w:rsidRPr="00213E47" w:rsidRDefault="00CF67AA" w:rsidP="005D0659">
            <w:pPr>
              <w:jc w:val="both"/>
              <w:rPr>
                <w:rFonts w:ascii="AytoRoquetas Light Condensed" w:hAnsi="AytoRoquetas Light Condensed" w:cs="Arial"/>
                <w:b/>
                <w:bCs/>
                <w:sz w:val="20"/>
                <w:szCs w:val="20"/>
              </w:rPr>
            </w:pPr>
            <w:r w:rsidRPr="00213E47">
              <w:rPr>
                <w:rFonts w:ascii="AytoRoquetas Light Condensed" w:hAnsi="AytoRoquetas Light Condensed" w:cs="Arial"/>
                <w:b/>
                <w:bCs/>
                <w:sz w:val="20"/>
                <w:szCs w:val="20"/>
              </w:rPr>
              <w:t>AYUNTAMIENTO</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14:paraId="73DCE811" w14:textId="3B5C4B54" w:rsidR="00CF67AA" w:rsidRPr="00213E47" w:rsidRDefault="00CF67AA" w:rsidP="00DC5FD2">
            <w:pPr>
              <w:jc w:val="right"/>
              <w:rPr>
                <w:rFonts w:ascii="AytoRoquetas Light Condensed" w:hAnsi="AytoRoquetas Light Condensed" w:cs="Arial"/>
                <w:b/>
                <w:bCs/>
                <w:sz w:val="20"/>
                <w:szCs w:val="20"/>
              </w:rPr>
            </w:pPr>
            <w:r w:rsidRPr="00213E47">
              <w:rPr>
                <w:rFonts w:ascii="AytoRoquetas Light Condensed" w:hAnsi="AytoRoquetas Light Condensed" w:cs="Arial"/>
                <w:b/>
                <w:bCs/>
                <w:sz w:val="20"/>
                <w:szCs w:val="20"/>
              </w:rPr>
              <w:t>POBLACIÓN A 01/01/202</w:t>
            </w:r>
            <w:r w:rsidR="00FE4F3C" w:rsidRPr="00213E47">
              <w:rPr>
                <w:rFonts w:ascii="AytoRoquetas Light Condensed" w:hAnsi="AytoRoquetas Light Condensed" w:cs="Arial"/>
                <w:b/>
                <w:bCs/>
                <w:sz w:val="20"/>
                <w:szCs w:val="20"/>
              </w:rPr>
              <w:t>2</w:t>
            </w:r>
          </w:p>
        </w:tc>
      </w:tr>
      <w:tr w:rsidR="00FE4F3C" w:rsidRPr="00213E47" w14:paraId="645CDFC0"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63693FD5"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ADRA</w:t>
            </w:r>
          </w:p>
        </w:tc>
        <w:tc>
          <w:tcPr>
            <w:tcW w:w="2073" w:type="pct"/>
            <w:tcBorders>
              <w:top w:val="nil"/>
              <w:left w:val="nil"/>
              <w:bottom w:val="single" w:sz="4" w:space="0" w:color="auto"/>
              <w:right w:val="single" w:sz="4" w:space="0" w:color="auto"/>
            </w:tcBorders>
            <w:shd w:val="clear" w:color="auto" w:fill="auto"/>
            <w:noWrap/>
            <w:vAlign w:val="center"/>
            <w:hideMark/>
          </w:tcPr>
          <w:p w14:paraId="57C2B9C0" w14:textId="64B8E0E6"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25.300,00</w:t>
            </w:r>
          </w:p>
        </w:tc>
      </w:tr>
      <w:tr w:rsidR="00FE4F3C" w:rsidRPr="00213E47" w14:paraId="09F308C4"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5A00C342"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BALANEGRA</w:t>
            </w:r>
          </w:p>
        </w:tc>
        <w:tc>
          <w:tcPr>
            <w:tcW w:w="2073" w:type="pct"/>
            <w:tcBorders>
              <w:top w:val="nil"/>
              <w:left w:val="nil"/>
              <w:bottom w:val="single" w:sz="4" w:space="0" w:color="auto"/>
              <w:right w:val="single" w:sz="4" w:space="0" w:color="auto"/>
            </w:tcBorders>
            <w:shd w:val="clear" w:color="auto" w:fill="auto"/>
            <w:noWrap/>
            <w:vAlign w:val="center"/>
            <w:hideMark/>
          </w:tcPr>
          <w:p w14:paraId="6A4F9424" w14:textId="3597CD52"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2.886,00</w:t>
            </w:r>
          </w:p>
        </w:tc>
      </w:tr>
      <w:tr w:rsidR="00FE4F3C" w:rsidRPr="00213E47" w14:paraId="4F255201"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4BA3F8F5"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DALÍAS</w:t>
            </w:r>
          </w:p>
        </w:tc>
        <w:tc>
          <w:tcPr>
            <w:tcW w:w="2073" w:type="pct"/>
            <w:tcBorders>
              <w:top w:val="nil"/>
              <w:left w:val="nil"/>
              <w:bottom w:val="single" w:sz="4" w:space="0" w:color="auto"/>
              <w:right w:val="single" w:sz="4" w:space="0" w:color="auto"/>
            </w:tcBorders>
            <w:shd w:val="clear" w:color="auto" w:fill="auto"/>
            <w:noWrap/>
            <w:vAlign w:val="center"/>
            <w:hideMark/>
          </w:tcPr>
          <w:p w14:paraId="6C9299DB" w14:textId="44332A00"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4.141,00</w:t>
            </w:r>
          </w:p>
        </w:tc>
      </w:tr>
      <w:tr w:rsidR="00FE4F3C" w:rsidRPr="00213E47" w14:paraId="3BE3A106"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65C7DC7C"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EL EJIDO</w:t>
            </w:r>
          </w:p>
        </w:tc>
        <w:tc>
          <w:tcPr>
            <w:tcW w:w="2073" w:type="pct"/>
            <w:tcBorders>
              <w:top w:val="nil"/>
              <w:left w:val="nil"/>
              <w:bottom w:val="single" w:sz="4" w:space="0" w:color="auto"/>
              <w:right w:val="single" w:sz="4" w:space="0" w:color="auto"/>
            </w:tcBorders>
            <w:shd w:val="clear" w:color="auto" w:fill="auto"/>
            <w:noWrap/>
            <w:vAlign w:val="center"/>
            <w:hideMark/>
          </w:tcPr>
          <w:p w14:paraId="3F625F02" w14:textId="018EDE03"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87.522,00</w:t>
            </w:r>
          </w:p>
        </w:tc>
      </w:tr>
      <w:tr w:rsidR="00FE4F3C" w:rsidRPr="00213E47" w14:paraId="74A01C50"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26A54018"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ENIX</w:t>
            </w:r>
          </w:p>
        </w:tc>
        <w:tc>
          <w:tcPr>
            <w:tcW w:w="2073" w:type="pct"/>
            <w:tcBorders>
              <w:top w:val="nil"/>
              <w:left w:val="nil"/>
              <w:bottom w:val="single" w:sz="4" w:space="0" w:color="auto"/>
              <w:right w:val="single" w:sz="4" w:space="0" w:color="auto"/>
            </w:tcBorders>
            <w:shd w:val="clear" w:color="auto" w:fill="auto"/>
            <w:noWrap/>
            <w:vAlign w:val="center"/>
            <w:hideMark/>
          </w:tcPr>
          <w:p w14:paraId="2C989530" w14:textId="363578A5"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554,00</w:t>
            </w:r>
          </w:p>
        </w:tc>
      </w:tr>
      <w:tr w:rsidR="00FE4F3C" w:rsidRPr="00213E47" w14:paraId="53EEB5AB"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3D6B2D03"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FELIX</w:t>
            </w:r>
          </w:p>
        </w:tc>
        <w:tc>
          <w:tcPr>
            <w:tcW w:w="2073" w:type="pct"/>
            <w:tcBorders>
              <w:top w:val="nil"/>
              <w:left w:val="nil"/>
              <w:bottom w:val="single" w:sz="4" w:space="0" w:color="auto"/>
              <w:right w:val="single" w:sz="4" w:space="0" w:color="auto"/>
            </w:tcBorders>
            <w:shd w:val="clear" w:color="auto" w:fill="auto"/>
            <w:noWrap/>
            <w:vAlign w:val="center"/>
            <w:hideMark/>
          </w:tcPr>
          <w:p w14:paraId="53AAA0FC" w14:textId="1C30D519"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697,00</w:t>
            </w:r>
          </w:p>
        </w:tc>
      </w:tr>
      <w:tr w:rsidR="00FE4F3C" w:rsidRPr="00213E47" w14:paraId="66B101A6"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07BC3DF6"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LA MOJONERA</w:t>
            </w:r>
          </w:p>
        </w:tc>
        <w:tc>
          <w:tcPr>
            <w:tcW w:w="2073" w:type="pct"/>
            <w:tcBorders>
              <w:top w:val="nil"/>
              <w:left w:val="nil"/>
              <w:bottom w:val="single" w:sz="4" w:space="0" w:color="auto"/>
              <w:right w:val="single" w:sz="4" w:space="0" w:color="auto"/>
            </w:tcBorders>
            <w:shd w:val="clear" w:color="auto" w:fill="auto"/>
            <w:noWrap/>
            <w:vAlign w:val="center"/>
            <w:hideMark/>
          </w:tcPr>
          <w:p w14:paraId="5BA1BBDD" w14:textId="0003D40F"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8.824,00</w:t>
            </w:r>
          </w:p>
        </w:tc>
      </w:tr>
      <w:tr w:rsidR="00FE4F3C" w:rsidRPr="00213E47" w14:paraId="1B19A702"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2F991A84"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ROQUETAS DE MAR</w:t>
            </w:r>
          </w:p>
        </w:tc>
        <w:tc>
          <w:tcPr>
            <w:tcW w:w="2073" w:type="pct"/>
            <w:tcBorders>
              <w:top w:val="nil"/>
              <w:left w:val="nil"/>
              <w:bottom w:val="single" w:sz="4" w:space="0" w:color="auto"/>
              <w:right w:val="single" w:sz="4" w:space="0" w:color="auto"/>
            </w:tcBorders>
            <w:shd w:val="clear" w:color="auto" w:fill="auto"/>
            <w:noWrap/>
            <w:vAlign w:val="center"/>
            <w:hideMark/>
          </w:tcPr>
          <w:p w14:paraId="1F9B124C" w14:textId="29FB94AE"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102.881,00</w:t>
            </w:r>
          </w:p>
        </w:tc>
      </w:tr>
      <w:tr w:rsidR="00FE4F3C" w:rsidRPr="00213E47" w14:paraId="3535510D"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4228B073"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VÍCAR</w:t>
            </w:r>
          </w:p>
        </w:tc>
        <w:tc>
          <w:tcPr>
            <w:tcW w:w="2073" w:type="pct"/>
            <w:tcBorders>
              <w:top w:val="nil"/>
              <w:left w:val="nil"/>
              <w:bottom w:val="single" w:sz="4" w:space="0" w:color="auto"/>
              <w:right w:val="single" w:sz="4" w:space="0" w:color="auto"/>
            </w:tcBorders>
            <w:shd w:val="clear" w:color="auto" w:fill="auto"/>
            <w:noWrap/>
            <w:vAlign w:val="center"/>
            <w:hideMark/>
          </w:tcPr>
          <w:p w14:paraId="2E05F283" w14:textId="59005CF3"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27.631,00</w:t>
            </w:r>
          </w:p>
        </w:tc>
      </w:tr>
      <w:tr w:rsidR="00FE4F3C" w:rsidRPr="00213E47" w14:paraId="580AEF98" w14:textId="77777777" w:rsidTr="00FF0327">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597321CF" w14:textId="77777777" w:rsidR="00FE4F3C" w:rsidRPr="00213E47" w:rsidRDefault="00FE4F3C" w:rsidP="00FE4F3C">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DIPUTACIÓN PROVINCIAL DE ALMERÍA</w:t>
            </w:r>
          </w:p>
        </w:tc>
        <w:tc>
          <w:tcPr>
            <w:tcW w:w="2073" w:type="pct"/>
            <w:tcBorders>
              <w:top w:val="nil"/>
              <w:left w:val="nil"/>
              <w:bottom w:val="single" w:sz="4" w:space="0" w:color="auto"/>
              <w:right w:val="single" w:sz="4" w:space="0" w:color="auto"/>
            </w:tcBorders>
            <w:shd w:val="clear" w:color="auto" w:fill="auto"/>
            <w:noWrap/>
            <w:vAlign w:val="center"/>
            <w:hideMark/>
          </w:tcPr>
          <w:p w14:paraId="30E4E3FB" w14:textId="15029385" w:rsidR="00FE4F3C" w:rsidRPr="00213E47" w:rsidRDefault="00FE4F3C" w:rsidP="00FE4F3C">
            <w:pPr>
              <w:jc w:val="right"/>
              <w:rPr>
                <w:rFonts w:ascii="AytoRoquetas Light Condensed" w:hAnsi="AytoRoquetas Light Condensed" w:cs="Arial"/>
                <w:sz w:val="20"/>
                <w:szCs w:val="20"/>
              </w:rPr>
            </w:pPr>
            <w:r w:rsidRPr="00213E47">
              <w:rPr>
                <w:rFonts w:ascii="AytoRoquetas Light Condensed" w:hAnsi="AytoRoquetas Light Condensed" w:cs="Arial"/>
                <w:color w:val="000000"/>
                <w:sz w:val="20"/>
                <w:szCs w:val="20"/>
              </w:rPr>
              <w:t>-</w:t>
            </w:r>
          </w:p>
        </w:tc>
      </w:tr>
      <w:tr w:rsidR="00FE4F3C" w:rsidRPr="00213E47" w14:paraId="548D25F9"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36968B23" w14:textId="77777777" w:rsidR="00FE4F3C" w:rsidRPr="00213E47" w:rsidRDefault="00FE4F3C" w:rsidP="00FE4F3C">
            <w:pPr>
              <w:jc w:val="both"/>
              <w:rPr>
                <w:rFonts w:ascii="AytoRoquetas Light Condensed" w:hAnsi="AytoRoquetas Light Condensed" w:cs="Arial"/>
                <w:b/>
                <w:bCs/>
                <w:color w:val="FF0000"/>
                <w:sz w:val="20"/>
                <w:szCs w:val="20"/>
              </w:rPr>
            </w:pPr>
            <w:r w:rsidRPr="00213E47">
              <w:rPr>
                <w:rFonts w:ascii="AytoRoquetas Light Condensed" w:hAnsi="AytoRoquetas Light Condensed" w:cs="Arial"/>
                <w:b/>
                <w:bCs/>
                <w:sz w:val="20"/>
                <w:szCs w:val="20"/>
              </w:rPr>
              <w:t>TOTAL</w:t>
            </w:r>
          </w:p>
        </w:tc>
        <w:tc>
          <w:tcPr>
            <w:tcW w:w="2073" w:type="pct"/>
            <w:tcBorders>
              <w:top w:val="nil"/>
              <w:left w:val="nil"/>
              <w:bottom w:val="single" w:sz="4" w:space="0" w:color="auto"/>
              <w:right w:val="single" w:sz="4" w:space="0" w:color="auto"/>
            </w:tcBorders>
            <w:shd w:val="clear" w:color="auto" w:fill="auto"/>
            <w:noWrap/>
            <w:vAlign w:val="bottom"/>
            <w:hideMark/>
          </w:tcPr>
          <w:p w14:paraId="48648D4A" w14:textId="4B59B148" w:rsidR="00FE4F3C" w:rsidRPr="00213E47" w:rsidRDefault="00FE4F3C" w:rsidP="00FE4F3C">
            <w:pPr>
              <w:jc w:val="right"/>
              <w:rPr>
                <w:rFonts w:ascii="AytoRoquetas Light Condensed" w:hAnsi="AytoRoquetas Light Condensed" w:cs="Arial"/>
                <w:b/>
                <w:bCs/>
                <w:color w:val="FF0000"/>
                <w:sz w:val="20"/>
                <w:szCs w:val="20"/>
              </w:rPr>
            </w:pPr>
            <w:r w:rsidRPr="00213E47">
              <w:rPr>
                <w:rFonts w:ascii="AytoRoquetas Light Condensed" w:hAnsi="AytoRoquetas Light Condensed" w:cs="Calibri"/>
                <w:b/>
                <w:bCs/>
                <w:color w:val="000000"/>
                <w:sz w:val="20"/>
                <w:szCs w:val="20"/>
              </w:rPr>
              <w:t>260.436,00</w:t>
            </w:r>
          </w:p>
        </w:tc>
      </w:tr>
    </w:tbl>
    <w:p w14:paraId="579F545E" w14:textId="77777777" w:rsidR="00CF67AA" w:rsidRPr="00213E47" w:rsidRDefault="00CF67AA" w:rsidP="005D0659">
      <w:pPr>
        <w:jc w:val="both"/>
        <w:rPr>
          <w:rFonts w:ascii="AytoRoquetas Light Condensed" w:hAnsi="AytoRoquetas Light Condensed" w:cs="Arial"/>
          <w:sz w:val="20"/>
          <w:szCs w:val="20"/>
        </w:rPr>
      </w:pPr>
    </w:p>
    <w:p w14:paraId="76FA0CF0" w14:textId="77777777" w:rsidR="00EB2EFC" w:rsidRPr="00213E47" w:rsidRDefault="00EB2EFC" w:rsidP="005D0659">
      <w:pPr>
        <w:jc w:val="both"/>
        <w:rPr>
          <w:rFonts w:ascii="AytoRoquetas Light Condensed" w:hAnsi="AytoRoquetas Light Condensed" w:cs="Arial"/>
          <w:sz w:val="20"/>
          <w:szCs w:val="20"/>
        </w:rPr>
      </w:pPr>
    </w:p>
    <w:p w14:paraId="71CF3E1C" w14:textId="300F57D1" w:rsidR="00EB2EFC"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     La organización del Consorcio queda constituida por una Presidencia</w:t>
      </w:r>
      <w:r w:rsidR="00FD5944" w:rsidRPr="00213E47">
        <w:rPr>
          <w:rFonts w:ascii="AytoRoquetas Light Condensed" w:hAnsi="AytoRoquetas Light Condensed" w:cs="Arial"/>
          <w:sz w:val="20"/>
          <w:szCs w:val="20"/>
        </w:rPr>
        <w:t xml:space="preserve">, </w:t>
      </w:r>
      <w:r w:rsidRPr="00213E47">
        <w:rPr>
          <w:rFonts w:ascii="AytoRoquetas Light Condensed" w:hAnsi="AytoRoquetas Light Condensed" w:cs="Arial"/>
          <w:sz w:val="20"/>
          <w:szCs w:val="20"/>
        </w:rPr>
        <w:t xml:space="preserve">Vicepresidencia, Consejo de Dirección y la Junta General, desde la que se adoptan la práctica totalidad de los </w:t>
      </w:r>
      <w:r w:rsidR="00FD5944" w:rsidRPr="00213E47">
        <w:rPr>
          <w:rFonts w:ascii="AytoRoquetas Light Condensed" w:hAnsi="AytoRoquetas Light Condensed" w:cs="Arial"/>
          <w:sz w:val="20"/>
          <w:szCs w:val="20"/>
        </w:rPr>
        <w:t>acuerdos.</w:t>
      </w:r>
    </w:p>
    <w:p w14:paraId="01376BE6" w14:textId="77777777" w:rsidR="00FD5944" w:rsidRPr="00213E47" w:rsidRDefault="00FD5944" w:rsidP="005D0659">
      <w:pPr>
        <w:jc w:val="both"/>
        <w:rPr>
          <w:rFonts w:ascii="AytoRoquetas Light Condensed" w:hAnsi="AytoRoquetas Light Condensed" w:cs="Arial"/>
          <w:sz w:val="20"/>
          <w:szCs w:val="20"/>
        </w:rPr>
      </w:pPr>
    </w:p>
    <w:p w14:paraId="17AF4164" w14:textId="5FF5B088" w:rsidR="00EB2EFC"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     La actual distribución de votos es la siguiente</w:t>
      </w:r>
      <w:r w:rsidR="00FA5B68" w:rsidRPr="00213E47">
        <w:rPr>
          <w:rFonts w:ascii="AytoRoquetas Light Condensed" w:hAnsi="AytoRoquetas Light Condensed" w:cs="Arial"/>
          <w:sz w:val="20"/>
          <w:szCs w:val="20"/>
        </w:rPr>
        <w:t xml:space="preserve"> (BOP número 90, de 13 de mayo de 2021)</w:t>
      </w:r>
      <w:r w:rsidRPr="00213E47">
        <w:rPr>
          <w:rFonts w:ascii="AytoRoquetas Light Condensed" w:hAnsi="AytoRoquetas Light Condensed" w:cs="Arial"/>
          <w:sz w:val="20"/>
          <w:szCs w:val="20"/>
        </w:rPr>
        <w:t>:</w:t>
      </w:r>
    </w:p>
    <w:p w14:paraId="70C67629" w14:textId="77777777" w:rsidR="00EB2EFC" w:rsidRPr="00213E47" w:rsidRDefault="00EB2EFC" w:rsidP="005D0659">
      <w:pPr>
        <w:jc w:val="both"/>
        <w:rPr>
          <w:rFonts w:ascii="AytoRoquetas Light Condensed" w:hAnsi="AytoRoquetas Light Condensed" w:cs="Arial"/>
          <w:sz w:val="20"/>
          <w:szCs w:val="20"/>
        </w:rPr>
      </w:pPr>
    </w:p>
    <w:p w14:paraId="396C4CBB" w14:textId="53E77027" w:rsidR="00FD5944" w:rsidRPr="00213E47" w:rsidRDefault="00FD5944" w:rsidP="005D0659">
      <w:pPr>
        <w:jc w:val="both"/>
        <w:rPr>
          <w:rFonts w:ascii="AytoRoquetas Light Condensed" w:hAnsi="AytoRoquetas Light Condensed" w:cs="Arial"/>
          <w:sz w:val="20"/>
          <w:szCs w:val="20"/>
        </w:rPr>
        <w:sectPr w:rsidR="00FD5944" w:rsidRPr="00213E47" w:rsidSect="000E786E">
          <w:headerReference w:type="default" r:id="rId8"/>
          <w:pgSz w:w="11906" w:h="16838"/>
          <w:pgMar w:top="1417" w:right="1701" w:bottom="1417" w:left="900" w:header="540" w:footer="708" w:gutter="0"/>
          <w:cols w:space="708"/>
          <w:docGrid w:linePitch="360"/>
        </w:sectPr>
      </w:pPr>
    </w:p>
    <w:p w14:paraId="0AC86CA4" w14:textId="3D2D670E" w:rsidR="00EB2EFC" w:rsidRPr="00213E47" w:rsidRDefault="00EB2EFC"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Adra: </w:t>
      </w:r>
      <w:r w:rsidR="00296AB7" w:rsidRPr="00213E47">
        <w:rPr>
          <w:rFonts w:ascii="AytoRoquetas Light Condensed" w:hAnsi="AytoRoquetas Light Condensed" w:cs="Arial"/>
          <w:sz w:val="20"/>
          <w:szCs w:val="20"/>
        </w:rPr>
        <w:t>9</w:t>
      </w:r>
    </w:p>
    <w:p w14:paraId="45FC86BA" w14:textId="11D74C8B" w:rsidR="00EB2EFC" w:rsidRPr="00213E47" w:rsidRDefault="00EB2EFC"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Balanegra: 1</w:t>
      </w:r>
    </w:p>
    <w:p w14:paraId="0BA03CC7" w14:textId="540B0F55" w:rsidR="00296AB7" w:rsidRPr="00213E47" w:rsidRDefault="00296AB7"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Dalías: 1</w:t>
      </w:r>
    </w:p>
    <w:p w14:paraId="03C95B6D" w14:textId="6D39AC88" w:rsidR="00EB2EFC" w:rsidRPr="00213E47" w:rsidRDefault="00EB2EFC"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El Ejido: 3</w:t>
      </w:r>
      <w:r w:rsidR="00296AB7" w:rsidRPr="00213E47">
        <w:rPr>
          <w:rFonts w:ascii="AytoRoquetas Light Condensed" w:hAnsi="AytoRoquetas Light Condensed" w:cs="Arial"/>
          <w:sz w:val="20"/>
          <w:szCs w:val="20"/>
        </w:rPr>
        <w:t>0</w:t>
      </w:r>
    </w:p>
    <w:p w14:paraId="159253FA" w14:textId="77777777" w:rsidR="00296AB7" w:rsidRPr="00213E47" w:rsidRDefault="00296AB7"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Enix: 1</w:t>
      </w:r>
    </w:p>
    <w:p w14:paraId="29AC4C21" w14:textId="77777777" w:rsidR="00296AB7" w:rsidRPr="00213E47" w:rsidRDefault="00296AB7"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Felix: 1</w:t>
      </w:r>
    </w:p>
    <w:p w14:paraId="30DEF317" w14:textId="77777777" w:rsidR="00296AB7" w:rsidRPr="00213E47" w:rsidRDefault="00296AB7"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La Mojonera: 3</w:t>
      </w:r>
    </w:p>
    <w:p w14:paraId="589CE1E1" w14:textId="569D4B25" w:rsidR="00296AB7" w:rsidRPr="00213E47" w:rsidRDefault="00296AB7"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Roquetas de Mar: 34</w:t>
      </w:r>
    </w:p>
    <w:p w14:paraId="48A414CF" w14:textId="1E914F7A" w:rsidR="00EB2EFC" w:rsidRPr="00213E47" w:rsidRDefault="00EB2EFC" w:rsidP="005D0659">
      <w:pPr>
        <w:pStyle w:val="Prrafodelista"/>
        <w:numPr>
          <w:ilvl w:val="0"/>
          <w:numId w:val="13"/>
        </w:numPr>
        <w:ind w:left="0" w:firstLine="0"/>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Vicar: </w:t>
      </w:r>
      <w:r w:rsidR="00296AB7" w:rsidRPr="00213E47">
        <w:rPr>
          <w:rFonts w:ascii="AytoRoquetas Light Condensed" w:hAnsi="AytoRoquetas Light Condensed" w:cs="Arial"/>
          <w:sz w:val="20"/>
          <w:szCs w:val="20"/>
        </w:rPr>
        <w:t>10</w:t>
      </w:r>
    </w:p>
    <w:p w14:paraId="2F69A5AE" w14:textId="7DF86BC1" w:rsidR="00EB2EFC" w:rsidRPr="00213E47" w:rsidRDefault="00EB2EFC" w:rsidP="005D0659">
      <w:pPr>
        <w:pStyle w:val="Prrafodelista"/>
        <w:numPr>
          <w:ilvl w:val="0"/>
          <w:numId w:val="13"/>
        </w:numPr>
        <w:ind w:left="0" w:firstLine="0"/>
        <w:jc w:val="both"/>
        <w:rPr>
          <w:rFonts w:ascii="AytoRoquetas Light Condensed" w:hAnsi="AytoRoquetas Light Condensed" w:cs="Arial"/>
          <w:sz w:val="20"/>
          <w:szCs w:val="20"/>
        </w:rPr>
        <w:sectPr w:rsidR="00EB2EFC" w:rsidRPr="00213E47" w:rsidSect="009B3BA5">
          <w:type w:val="continuous"/>
          <w:pgSz w:w="11906" w:h="16838"/>
          <w:pgMar w:top="1417" w:right="1701" w:bottom="1417" w:left="900" w:header="540" w:footer="708" w:gutter="0"/>
          <w:cols w:num="2" w:space="708"/>
          <w:docGrid w:linePitch="360"/>
        </w:sectPr>
      </w:pPr>
      <w:r w:rsidRPr="00213E47">
        <w:rPr>
          <w:rFonts w:ascii="AytoRoquetas Light Condensed" w:hAnsi="AytoRoquetas Light Condensed" w:cs="Arial"/>
          <w:sz w:val="20"/>
          <w:szCs w:val="20"/>
        </w:rPr>
        <w:t xml:space="preserve">Diputación Provincial de Almería: </w:t>
      </w:r>
      <w:r w:rsidR="00296AB7" w:rsidRPr="00213E47">
        <w:rPr>
          <w:rFonts w:ascii="AytoRoquetas Light Condensed" w:hAnsi="AytoRoquetas Light Condensed" w:cs="Arial"/>
          <w:sz w:val="20"/>
          <w:szCs w:val="20"/>
        </w:rPr>
        <w:t>10</w:t>
      </w:r>
    </w:p>
    <w:p w14:paraId="0FF40F20" w14:textId="6CE08445" w:rsidR="00EB2EFC"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lastRenderedPageBreak/>
        <w:t xml:space="preserve">  El Consorcio cuenta con depuradoras en la zona occidental ubicadas en Adra, Balerma, Dalías, El Ejido, y en la zona oriental ubicadas en Enix, Felix y Roquetas de Mar. Sólo presta el servicio de depuración de agua con tratamiento secundario, estando previsto el terciario.</w:t>
      </w:r>
    </w:p>
    <w:p w14:paraId="20F50523" w14:textId="77777777" w:rsidR="00EB2EFC" w:rsidRPr="00213E47" w:rsidRDefault="00EB2EFC" w:rsidP="005D0659">
      <w:pPr>
        <w:jc w:val="both"/>
        <w:rPr>
          <w:rFonts w:ascii="AytoRoquetas Light Condensed" w:hAnsi="AytoRoquetas Light Condensed" w:cs="Arial"/>
          <w:sz w:val="20"/>
          <w:szCs w:val="20"/>
        </w:rPr>
      </w:pPr>
    </w:p>
    <w:p w14:paraId="1C30713D" w14:textId="77777777" w:rsidR="001B69DF" w:rsidRPr="00213E47" w:rsidRDefault="001B69DF" w:rsidP="005D0659">
      <w:pPr>
        <w:jc w:val="both"/>
        <w:rPr>
          <w:rFonts w:ascii="AytoRoquetas Light Condensed" w:hAnsi="AytoRoquetas Light Condensed" w:cs="Arial"/>
          <w:sz w:val="20"/>
          <w:szCs w:val="20"/>
        </w:rPr>
      </w:pPr>
    </w:p>
    <w:p w14:paraId="1FB0D632" w14:textId="27FC179B" w:rsidR="00EB2EFC" w:rsidRPr="00213E47" w:rsidRDefault="00EB2EFC"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Las principales y hasta ahora, únicas fuentes de financiación del Consorcio proceden de un canon anual del 5% de los gastos generales de explotación, previamente definidos en el contrato de cada una de las empresas concesionarias y el importe correspondiente a la diferencia entre la</w:t>
      </w:r>
      <w:r w:rsidR="00EF087D" w:rsidRPr="00213E47">
        <w:rPr>
          <w:rFonts w:ascii="AytoRoquetas Light Condensed" w:hAnsi="AytoRoquetas Light Condensed" w:cs="Arial"/>
          <w:sz w:val="20"/>
          <w:szCs w:val="20"/>
        </w:rPr>
        <w:t xml:space="preserve"> prestación patrimonial no tributaria </w:t>
      </w:r>
      <w:r w:rsidRPr="00213E47">
        <w:rPr>
          <w:rFonts w:ascii="AytoRoquetas Light Condensed" w:hAnsi="AytoRoquetas Light Condensed" w:cs="Arial"/>
          <w:sz w:val="20"/>
          <w:szCs w:val="20"/>
        </w:rPr>
        <w:t>en vigor con el coste unitario del servicio</w:t>
      </w:r>
      <w:r w:rsidR="00EF087D" w:rsidRPr="00213E47">
        <w:rPr>
          <w:rFonts w:ascii="AytoRoquetas Light Condensed" w:hAnsi="AytoRoquetas Light Condensed" w:cs="Arial"/>
          <w:sz w:val="20"/>
          <w:szCs w:val="20"/>
        </w:rPr>
        <w:t xml:space="preserve"> aprobado</w:t>
      </w:r>
      <w:r w:rsidRPr="00213E47">
        <w:rPr>
          <w:rFonts w:ascii="AytoRoquetas Light Condensed" w:hAnsi="AytoRoquetas Light Condensed" w:cs="Arial"/>
          <w:sz w:val="20"/>
          <w:szCs w:val="20"/>
        </w:rPr>
        <w:t xml:space="preserve">, tanto en cuota fija como en cuotas variables </w:t>
      </w:r>
      <w:r w:rsidR="00EF087D" w:rsidRPr="00213E47">
        <w:rPr>
          <w:rFonts w:ascii="AytoRoquetas Light Condensed" w:hAnsi="AytoRoquetas Light Condensed" w:cs="Arial"/>
          <w:sz w:val="20"/>
          <w:szCs w:val="20"/>
        </w:rPr>
        <w:t xml:space="preserve">ofertado por las dos </w:t>
      </w:r>
      <w:r w:rsidR="00FE4F3C" w:rsidRPr="00213E47">
        <w:rPr>
          <w:rFonts w:ascii="AytoRoquetas Light Condensed" w:hAnsi="AytoRoquetas Light Condensed" w:cs="Arial"/>
          <w:sz w:val="20"/>
          <w:szCs w:val="20"/>
        </w:rPr>
        <w:t>empresas</w:t>
      </w:r>
      <w:r w:rsidR="00EF087D" w:rsidRPr="00213E47">
        <w:rPr>
          <w:rFonts w:ascii="AytoRoquetas Light Condensed" w:hAnsi="AytoRoquetas Light Condensed" w:cs="Arial"/>
          <w:sz w:val="20"/>
          <w:szCs w:val="20"/>
        </w:rPr>
        <w:t xml:space="preserve"> operadoras en el ámbito del Consorcio, esto es, </w:t>
      </w:r>
      <w:r w:rsidRPr="00213E47">
        <w:rPr>
          <w:rFonts w:ascii="AytoRoquetas Light Condensed" w:hAnsi="AytoRoquetas Light Condensed" w:cs="Arial"/>
          <w:sz w:val="20"/>
          <w:szCs w:val="20"/>
        </w:rPr>
        <w:t xml:space="preserve"> la mercantil Hidralia S.A. (antigua Aquagest S.A.) para la zona oriental</w:t>
      </w:r>
      <w:r w:rsidR="00DF79FC" w:rsidRPr="00213E47">
        <w:rPr>
          <w:rFonts w:ascii="AytoRoquetas Light Condensed" w:hAnsi="AytoRoquetas Light Condensed" w:cs="Arial"/>
          <w:sz w:val="20"/>
          <w:szCs w:val="20"/>
        </w:rPr>
        <w:t xml:space="preserve"> y por la UTE Depuración Poniente Almeriense (Sogesur-Inima) para la zona occidental</w:t>
      </w:r>
    </w:p>
    <w:p w14:paraId="7729687C" w14:textId="77777777" w:rsidR="00EB2EFC" w:rsidRPr="00213E47" w:rsidRDefault="00EB2EFC" w:rsidP="005D0659">
      <w:pPr>
        <w:tabs>
          <w:tab w:val="right" w:leader="dot" w:pos="8364"/>
        </w:tabs>
        <w:jc w:val="both"/>
        <w:rPr>
          <w:rFonts w:ascii="AytoRoquetas Light Condensed" w:hAnsi="AytoRoquetas Light Condensed" w:cs="Arial"/>
          <w:b/>
          <w:kern w:val="28"/>
          <w:sz w:val="20"/>
          <w:szCs w:val="20"/>
          <w:u w:val="single"/>
        </w:rPr>
      </w:pPr>
    </w:p>
    <w:p w14:paraId="56E042CF" w14:textId="77777777" w:rsidR="00E1506A" w:rsidRPr="00213E47" w:rsidRDefault="00E1506A" w:rsidP="005D0659">
      <w:pPr>
        <w:jc w:val="both"/>
        <w:rPr>
          <w:rFonts w:ascii="AytoRoquetas Light Condensed" w:hAnsi="AytoRoquetas Light Condensed" w:cs="Arial"/>
          <w:sz w:val="20"/>
          <w:szCs w:val="20"/>
        </w:rPr>
      </w:pPr>
    </w:p>
    <w:p w14:paraId="746FDF41" w14:textId="055BC34D" w:rsidR="00E1506A" w:rsidRPr="00213E47" w:rsidRDefault="00026393" w:rsidP="005D0659">
      <w:pPr>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2. GESTIÓN INDIRECTA DE SERVICIOS PÚBLICOS</w:t>
      </w:r>
    </w:p>
    <w:p w14:paraId="67FD61D3" w14:textId="7E9ED0E9" w:rsidR="0078283E" w:rsidRPr="00213E47" w:rsidRDefault="0078283E" w:rsidP="005D0659">
      <w:pPr>
        <w:jc w:val="both"/>
        <w:rPr>
          <w:rFonts w:ascii="AytoRoquetas Light Condensed" w:hAnsi="AytoRoquetas Light Condensed" w:cs="Arial"/>
          <w:color w:val="515151"/>
          <w:sz w:val="20"/>
          <w:szCs w:val="20"/>
          <w:shd w:val="clear" w:color="auto" w:fill="FFFFFF"/>
        </w:rPr>
      </w:pPr>
    </w:p>
    <w:p w14:paraId="408E0009" w14:textId="77777777" w:rsidR="00291829" w:rsidRPr="00213E47" w:rsidRDefault="00291829"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     El servicio se presta mediante concesión de 24 años por las mercantiles Hidralia S.A. (antigua Aquagest Sur S.A.) para la zona oriental del Consorcio y por la UTE Depuración Poniente Almeriense (Sogesur-Inima) para la zona occidental tras formalización de los respectivos contratos realizados el 21 de junio de 2002.</w:t>
      </w:r>
    </w:p>
    <w:p w14:paraId="0305E147" w14:textId="1047D8F0" w:rsidR="0078283E" w:rsidRPr="00213E47" w:rsidRDefault="0078283E" w:rsidP="005D0659">
      <w:pPr>
        <w:jc w:val="both"/>
        <w:rPr>
          <w:rFonts w:ascii="AytoRoquetas Light Condensed" w:hAnsi="AytoRoquetas Light Condensed" w:cs="Arial"/>
          <w:sz w:val="20"/>
          <w:szCs w:val="20"/>
          <w:u w:val="single"/>
        </w:rPr>
      </w:pPr>
    </w:p>
    <w:p w14:paraId="67670D9F" w14:textId="35D3A867" w:rsidR="00920D4E" w:rsidRPr="00213E47" w:rsidRDefault="00026393" w:rsidP="005D0659">
      <w:pPr>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3. BASES DE PRESENTACIÓN DE LAS CUENTAS</w:t>
      </w:r>
    </w:p>
    <w:p w14:paraId="77827296" w14:textId="77777777" w:rsidR="00920D4E" w:rsidRPr="00213E47" w:rsidRDefault="00920D4E" w:rsidP="005D0659">
      <w:pPr>
        <w:jc w:val="both"/>
        <w:rPr>
          <w:rFonts w:ascii="AytoRoquetas Light Condensed" w:hAnsi="AytoRoquetas Light Condensed" w:cs="Arial"/>
          <w:sz w:val="20"/>
          <w:szCs w:val="20"/>
        </w:rPr>
      </w:pPr>
    </w:p>
    <w:p w14:paraId="64876CCA" w14:textId="4AA40692"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Los Principios Contables utilizados para la elaboración de estas cuentas anuales son los recogidos en la Instrucción de Contabilidad Local: Orden HAP/1781/2013 en el caso de Modelo Normal.</w:t>
      </w:r>
    </w:p>
    <w:p w14:paraId="119CE6C9" w14:textId="4B4E5508" w:rsidR="00920D4E" w:rsidRPr="00213E47" w:rsidRDefault="00920D4E" w:rsidP="005D0659">
      <w:pPr>
        <w:jc w:val="both"/>
        <w:rPr>
          <w:rFonts w:ascii="AytoRoquetas Light Condensed" w:hAnsi="AytoRoquetas Light Condensed" w:cs="Arial"/>
          <w:sz w:val="20"/>
          <w:szCs w:val="20"/>
        </w:rPr>
      </w:pPr>
    </w:p>
    <w:p w14:paraId="1720ED99" w14:textId="3610355B"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No existe incidencia en las cuentas anuales como consecuencia de cambios en los criterios de contabilización entre ambos ejercicios.</w:t>
      </w:r>
    </w:p>
    <w:p w14:paraId="3EFABF2F" w14:textId="77777777" w:rsidR="00920D4E" w:rsidRPr="00213E47" w:rsidRDefault="00920D4E" w:rsidP="005D0659">
      <w:pPr>
        <w:jc w:val="both"/>
        <w:rPr>
          <w:rFonts w:ascii="AytoRoquetas Light Condensed" w:hAnsi="AytoRoquetas Light Condensed" w:cs="Arial"/>
          <w:sz w:val="20"/>
          <w:szCs w:val="20"/>
        </w:rPr>
      </w:pPr>
    </w:p>
    <w:p w14:paraId="3485448B" w14:textId="70D56927" w:rsidR="00920D4E" w:rsidRPr="00213E47" w:rsidRDefault="00026393" w:rsidP="005D0659">
      <w:pPr>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4. NORMAS DE VALORACIÓN</w:t>
      </w:r>
    </w:p>
    <w:p w14:paraId="77A3537F" w14:textId="77777777" w:rsidR="00920D4E" w:rsidRPr="00213E47" w:rsidRDefault="00920D4E" w:rsidP="005D0659">
      <w:pPr>
        <w:jc w:val="both"/>
        <w:rPr>
          <w:rFonts w:ascii="AytoRoquetas Light Condensed" w:hAnsi="AytoRoquetas Light Condensed" w:cs="Arial"/>
          <w:sz w:val="20"/>
          <w:szCs w:val="20"/>
        </w:rPr>
      </w:pPr>
    </w:p>
    <w:p w14:paraId="4FC72885" w14:textId="39D165E7"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Los criterios seguidos para el inmovilizado material en cuanto a la capitalización, son el de coste de adquisición. Estos bienes se amortizan siguiendo el método lineal, según las tablas de criterios de amortización fiscales. </w:t>
      </w:r>
    </w:p>
    <w:p w14:paraId="266A5A0C" w14:textId="77777777" w:rsidR="00920D4E" w:rsidRPr="00213E47" w:rsidRDefault="00920D4E" w:rsidP="005D0659">
      <w:pPr>
        <w:jc w:val="both"/>
        <w:rPr>
          <w:rFonts w:ascii="AytoRoquetas Light Condensed" w:hAnsi="AytoRoquetas Light Condensed" w:cs="Arial"/>
          <w:sz w:val="20"/>
          <w:szCs w:val="20"/>
        </w:rPr>
      </w:pPr>
    </w:p>
    <w:p w14:paraId="590D4F22" w14:textId="77777777"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Los criterios de valoración de los nuevos activos de inmovilizado son exclusivamente los de coste de adquisición por los bienes adquiridos ya elaborados. Por las construcciones en curso, están valoradas al coste de las obligaciones reconocidas hasta a 31 de diciembre; a las obras finalizadas se han incorporado el coste de redacción de proyecto y dirección de obra, que en algunos casos se habían satisfecho como a un gasto ordinario. En ningún caso se ha incorporado a valores de inmovilizado costes financieros.</w:t>
      </w:r>
    </w:p>
    <w:p w14:paraId="6EA19DD8" w14:textId="77777777" w:rsidR="00920D4E" w:rsidRPr="00213E47" w:rsidRDefault="00920D4E" w:rsidP="005D0659">
      <w:pPr>
        <w:jc w:val="both"/>
        <w:rPr>
          <w:rFonts w:ascii="AytoRoquetas Light Condensed" w:hAnsi="AytoRoquetas Light Condensed" w:cs="Arial"/>
          <w:sz w:val="20"/>
          <w:szCs w:val="20"/>
        </w:rPr>
      </w:pPr>
    </w:p>
    <w:p w14:paraId="60C8BD0D" w14:textId="22B1A8FF"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El Consorcio no dispone a la fecha de la aprobación de las cuentas anuales de este ejercicio, de un inventario de bienes detallado y conciliado con los importes que figuran en las cuentas de inmovilizado</w:t>
      </w:r>
      <w:r w:rsidR="00291829" w:rsidRPr="00213E47">
        <w:rPr>
          <w:rFonts w:ascii="AytoRoquetas Light Condensed" w:hAnsi="AytoRoquetas Light Condensed" w:cs="Arial"/>
          <w:sz w:val="20"/>
          <w:szCs w:val="20"/>
        </w:rPr>
        <w:t xml:space="preserve">, no constando en contabilidad importe alguno en este concepto, lo que hace imprescindible su realización. </w:t>
      </w:r>
    </w:p>
    <w:p w14:paraId="10098A65" w14:textId="77777777" w:rsidR="00920D4E" w:rsidRPr="00213E47" w:rsidRDefault="00920D4E" w:rsidP="005D0659">
      <w:pPr>
        <w:jc w:val="both"/>
        <w:rPr>
          <w:rFonts w:ascii="AytoRoquetas Light Condensed" w:hAnsi="AytoRoquetas Light Condensed" w:cs="Arial"/>
          <w:sz w:val="20"/>
          <w:szCs w:val="20"/>
        </w:rPr>
      </w:pPr>
    </w:p>
    <w:p w14:paraId="775AFCF4" w14:textId="078BA297"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El método seguido para dotar las provisiones por insolvencias es el procedimiento de dotación global, por lo que a final de cada ejercicio se realiza la estimación utilizando los siguientes cálculos establecidos:</w:t>
      </w:r>
      <w:r w:rsidR="00291829" w:rsidRPr="00213E47">
        <w:rPr>
          <w:rFonts w:ascii="AytoRoquetas Light Condensed" w:hAnsi="AytoRoquetas Light Condensed" w:cs="Arial"/>
          <w:sz w:val="20"/>
          <w:szCs w:val="20"/>
        </w:rPr>
        <w:t xml:space="preserve"> </w:t>
      </w:r>
      <w:r w:rsidRPr="00213E47">
        <w:rPr>
          <w:rFonts w:ascii="AytoRoquetas Light Condensed" w:hAnsi="AytoRoquetas Light Condensed" w:cs="Arial"/>
          <w:sz w:val="20"/>
          <w:szCs w:val="20"/>
        </w:rPr>
        <w:t>en el remanente de tesorería ha de aplicarse la deducción de los derechos pendientes de cobro de difícil o imposible recaudación a que se refiere el art. 103 del RD 500/90 de 30 de abril</w:t>
      </w:r>
      <w:r w:rsidR="00291829" w:rsidRPr="00213E47">
        <w:rPr>
          <w:rFonts w:ascii="AytoRoquetas Light Condensed" w:hAnsi="AytoRoquetas Light Condensed" w:cs="Arial"/>
          <w:sz w:val="20"/>
          <w:szCs w:val="20"/>
        </w:rPr>
        <w:t>, así como los criterios propuestos por la Cámara de Cuentas de Andalucía en el acuerdo plenario de ésta de fecha 28.05.2013.</w:t>
      </w:r>
    </w:p>
    <w:p w14:paraId="78A724C8" w14:textId="71805A34" w:rsidR="00920D4E" w:rsidRPr="00213E47" w:rsidRDefault="00920D4E" w:rsidP="005D0659">
      <w:pPr>
        <w:jc w:val="both"/>
        <w:rPr>
          <w:rFonts w:ascii="AytoRoquetas Light Condensed" w:hAnsi="AytoRoquetas Light Condensed" w:cs="Arial"/>
          <w:sz w:val="20"/>
          <w:szCs w:val="20"/>
        </w:rPr>
      </w:pPr>
    </w:p>
    <w:p w14:paraId="64118256" w14:textId="0EC20A6B" w:rsidR="005D0659" w:rsidRPr="00213E47" w:rsidRDefault="005D0659" w:rsidP="005D0659">
      <w:pPr>
        <w:jc w:val="both"/>
        <w:rPr>
          <w:rFonts w:ascii="AytoRoquetas Light Condensed" w:hAnsi="AytoRoquetas Light Condensed" w:cs="Arial"/>
          <w:sz w:val="20"/>
          <w:szCs w:val="20"/>
        </w:rPr>
      </w:pPr>
    </w:p>
    <w:p w14:paraId="451650EF" w14:textId="77777777" w:rsidR="005D0659" w:rsidRPr="00213E47" w:rsidRDefault="005D0659" w:rsidP="005D0659">
      <w:pPr>
        <w:jc w:val="both"/>
        <w:rPr>
          <w:rFonts w:ascii="AytoRoquetas Light Condensed" w:hAnsi="AytoRoquetas Light Condensed" w:cs="Arial"/>
          <w:sz w:val="20"/>
          <w:szCs w:val="20"/>
        </w:rPr>
      </w:pPr>
    </w:p>
    <w:p w14:paraId="50BAB538" w14:textId="25C718F6" w:rsidR="00026393" w:rsidRPr="00213E47" w:rsidRDefault="00026393" w:rsidP="005D0659">
      <w:pPr>
        <w:jc w:val="both"/>
        <w:rPr>
          <w:rFonts w:ascii="AytoRoquetas Light Condensed" w:hAnsi="AytoRoquetas Light Condensed" w:cs="Arial"/>
          <w:sz w:val="20"/>
          <w:szCs w:val="20"/>
        </w:rPr>
      </w:pPr>
    </w:p>
    <w:p w14:paraId="14CE7B1B" w14:textId="484C56F1" w:rsidR="00026393" w:rsidRPr="00213E47" w:rsidRDefault="00026393" w:rsidP="005D0659">
      <w:pPr>
        <w:pStyle w:val="Prrafodelista"/>
        <w:numPr>
          <w:ilvl w:val="0"/>
          <w:numId w:val="9"/>
        </w:numPr>
        <w:ind w:left="0" w:firstLine="0"/>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lastRenderedPageBreak/>
        <w:t>INMOVILIZADO MATERIAL</w:t>
      </w:r>
    </w:p>
    <w:p w14:paraId="228DE495" w14:textId="661CAF67" w:rsidR="00026393" w:rsidRPr="00213E47" w:rsidRDefault="00026393" w:rsidP="005D0659">
      <w:pPr>
        <w:jc w:val="both"/>
        <w:rPr>
          <w:rFonts w:ascii="AytoRoquetas Light Condensed" w:hAnsi="AytoRoquetas Light Condensed" w:cs="Arial"/>
          <w:sz w:val="20"/>
          <w:szCs w:val="20"/>
          <w:lang w:val="en-US"/>
        </w:rPr>
      </w:pPr>
    </w:p>
    <w:p w14:paraId="4FE7765B" w14:textId="473FC720" w:rsidR="009067D4" w:rsidRPr="00213E47" w:rsidRDefault="00EF087D" w:rsidP="005D0659">
      <w:pPr>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noProof/>
          <w:sz w:val="20"/>
          <w:szCs w:val="20"/>
          <w:u w:val="single"/>
        </w:rPr>
        <w:drawing>
          <wp:inline distT="0" distB="0" distL="0" distR="0" wp14:anchorId="74C6E1C6" wp14:editId="3D46704F">
            <wp:extent cx="5400040" cy="1251585"/>
            <wp:effectExtent l="0" t="0" r="0" b="5715"/>
            <wp:docPr id="465615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1585" name=""/>
                    <pic:cNvPicPr/>
                  </pic:nvPicPr>
                  <pic:blipFill>
                    <a:blip r:embed="rId9"/>
                    <a:stretch>
                      <a:fillRect/>
                    </a:stretch>
                  </pic:blipFill>
                  <pic:spPr>
                    <a:xfrm>
                      <a:off x="0" y="0"/>
                      <a:ext cx="5400040" cy="1251585"/>
                    </a:xfrm>
                    <a:prstGeom prst="rect">
                      <a:avLst/>
                    </a:prstGeom>
                  </pic:spPr>
                </pic:pic>
              </a:graphicData>
            </a:graphic>
          </wp:inline>
        </w:drawing>
      </w:r>
    </w:p>
    <w:p w14:paraId="08F49F62" w14:textId="77777777" w:rsidR="001429DE" w:rsidRPr="00213E47" w:rsidRDefault="001429DE" w:rsidP="005D0659">
      <w:pPr>
        <w:jc w:val="both"/>
        <w:rPr>
          <w:rFonts w:ascii="AytoRoquetas Light Condensed" w:hAnsi="AytoRoquetas Light Condensed" w:cs="Arial"/>
          <w:b/>
          <w:bCs/>
          <w:sz w:val="20"/>
          <w:szCs w:val="20"/>
          <w:u w:val="single"/>
        </w:rPr>
      </w:pPr>
    </w:p>
    <w:p w14:paraId="1D8E870A" w14:textId="77777777" w:rsidR="00EF087D" w:rsidRPr="00213E47" w:rsidRDefault="00EF087D" w:rsidP="005D0659">
      <w:pPr>
        <w:jc w:val="both"/>
        <w:rPr>
          <w:rFonts w:ascii="AytoRoquetas Light Condensed" w:hAnsi="AytoRoquetas Light Condensed" w:cs="Arial"/>
          <w:b/>
          <w:bCs/>
          <w:sz w:val="20"/>
          <w:szCs w:val="20"/>
          <w:u w:val="single"/>
        </w:rPr>
      </w:pPr>
    </w:p>
    <w:p w14:paraId="22530CA1" w14:textId="5522B362" w:rsidR="00065F6E" w:rsidRPr="00213E47" w:rsidRDefault="004C5C20" w:rsidP="005D0659">
      <w:pPr>
        <w:pStyle w:val="Prrafodelista"/>
        <w:numPr>
          <w:ilvl w:val="0"/>
          <w:numId w:val="9"/>
        </w:numPr>
        <w:ind w:left="0" w:firstLine="0"/>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PRESENTACIÓN POR ACTIVIDADES DE LA CUENTA DE RESULTADO ECONÓMICO-PATRIMONIAL</w:t>
      </w:r>
    </w:p>
    <w:p w14:paraId="289B49E2" w14:textId="60F33DD1" w:rsidR="00065F6E" w:rsidRPr="00213E47" w:rsidRDefault="00065F6E" w:rsidP="005D0659">
      <w:pPr>
        <w:jc w:val="both"/>
        <w:rPr>
          <w:rFonts w:ascii="AytoRoquetas Light Condensed" w:hAnsi="AytoRoquetas Light Condensed" w:cs="Arial"/>
          <w:sz w:val="20"/>
          <w:szCs w:val="20"/>
          <w:lang w:val="en-US"/>
        </w:rPr>
      </w:pPr>
    </w:p>
    <w:p w14:paraId="660E1346" w14:textId="7E3914A2" w:rsidR="00065F6E" w:rsidRPr="00213E47" w:rsidRDefault="00065F6E" w:rsidP="005D0659">
      <w:pPr>
        <w:jc w:val="both"/>
        <w:rPr>
          <w:rFonts w:ascii="AytoRoquetas Light Condensed" w:hAnsi="AytoRoquetas Light Condensed" w:cs="Arial"/>
          <w:noProof/>
          <w:sz w:val="20"/>
          <w:szCs w:val="20"/>
        </w:rPr>
      </w:pPr>
    </w:p>
    <w:p w14:paraId="6ED98043" w14:textId="607DF0FC" w:rsidR="00B32FC0" w:rsidRPr="00213E47" w:rsidRDefault="00B215BC" w:rsidP="005D0659">
      <w:pPr>
        <w:jc w:val="both"/>
        <w:rPr>
          <w:rFonts w:ascii="AytoRoquetas Light Condensed" w:hAnsi="AytoRoquetas Light Condensed" w:cs="Arial"/>
          <w:noProof/>
          <w:sz w:val="20"/>
          <w:szCs w:val="20"/>
        </w:rPr>
      </w:pPr>
      <w:r w:rsidRPr="00213E47">
        <w:rPr>
          <w:rFonts w:ascii="AytoRoquetas Light Condensed" w:hAnsi="AytoRoquetas Light Condensed" w:cs="Arial"/>
          <w:noProof/>
          <w:sz w:val="20"/>
          <w:szCs w:val="20"/>
        </w:rPr>
        <w:drawing>
          <wp:inline distT="0" distB="0" distL="0" distR="0" wp14:anchorId="5A92E1D7" wp14:editId="5A367D42">
            <wp:extent cx="5400040" cy="1527175"/>
            <wp:effectExtent l="0" t="0" r="0" b="0"/>
            <wp:docPr id="19063177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17754" name=""/>
                    <pic:cNvPicPr/>
                  </pic:nvPicPr>
                  <pic:blipFill>
                    <a:blip r:embed="rId10"/>
                    <a:stretch>
                      <a:fillRect/>
                    </a:stretch>
                  </pic:blipFill>
                  <pic:spPr>
                    <a:xfrm>
                      <a:off x="0" y="0"/>
                      <a:ext cx="5400040" cy="1527175"/>
                    </a:xfrm>
                    <a:prstGeom prst="rect">
                      <a:avLst/>
                    </a:prstGeom>
                  </pic:spPr>
                </pic:pic>
              </a:graphicData>
            </a:graphic>
          </wp:inline>
        </w:drawing>
      </w:r>
    </w:p>
    <w:p w14:paraId="16BB0C3D" w14:textId="69F44617" w:rsidR="00B32FC0" w:rsidRPr="00213E47" w:rsidRDefault="00B32FC0" w:rsidP="005D0659">
      <w:pPr>
        <w:jc w:val="both"/>
        <w:rPr>
          <w:rFonts w:ascii="AytoRoquetas Light Condensed" w:hAnsi="AytoRoquetas Light Condensed" w:cs="Arial"/>
          <w:noProof/>
          <w:sz w:val="20"/>
          <w:szCs w:val="20"/>
        </w:rPr>
      </w:pPr>
    </w:p>
    <w:p w14:paraId="0AC33D83" w14:textId="77777777" w:rsidR="00026393" w:rsidRPr="00213E47" w:rsidRDefault="00026393" w:rsidP="005D0659">
      <w:pPr>
        <w:jc w:val="both"/>
        <w:rPr>
          <w:rFonts w:ascii="AytoRoquetas Light Condensed" w:hAnsi="AytoRoquetas Light Condensed" w:cs="Arial"/>
          <w:sz w:val="20"/>
          <w:szCs w:val="20"/>
          <w:lang w:val="en-US"/>
        </w:rPr>
      </w:pPr>
      <w:bookmarkStart w:id="0" w:name="_Hlk73431262"/>
    </w:p>
    <w:p w14:paraId="7F1B7E83" w14:textId="2CD04185" w:rsidR="00026393" w:rsidRPr="00213E47" w:rsidRDefault="00026393" w:rsidP="005D0659">
      <w:pPr>
        <w:pStyle w:val="Prrafodelista"/>
        <w:numPr>
          <w:ilvl w:val="0"/>
          <w:numId w:val="9"/>
        </w:numPr>
        <w:ind w:left="0" w:firstLine="0"/>
        <w:jc w:val="both"/>
        <w:rPr>
          <w:rFonts w:ascii="AytoRoquetas Light Condensed" w:hAnsi="AytoRoquetas Light Condensed" w:cs="Arial"/>
          <w:b/>
          <w:bCs/>
          <w:sz w:val="20"/>
          <w:szCs w:val="20"/>
          <w:u w:val="single"/>
        </w:rPr>
      </w:pPr>
      <w:bookmarkStart w:id="1" w:name="_Hlk72834474"/>
      <w:r w:rsidRPr="00213E47">
        <w:rPr>
          <w:rFonts w:ascii="AytoRoquetas Light Condensed" w:hAnsi="AytoRoquetas Light Condensed" w:cs="Arial"/>
          <w:b/>
          <w:bCs/>
          <w:sz w:val="20"/>
          <w:szCs w:val="20"/>
          <w:u w:val="single"/>
        </w:rPr>
        <w:t xml:space="preserve">OPERACIONES NO PRESUPUESTARIAS </w:t>
      </w:r>
      <w:bookmarkEnd w:id="1"/>
      <w:bookmarkEnd w:id="0"/>
    </w:p>
    <w:p w14:paraId="4C6E4E87" w14:textId="3BBEFCAA" w:rsidR="004C5C20" w:rsidRPr="00213E47" w:rsidRDefault="004C5C20" w:rsidP="005D0659">
      <w:pPr>
        <w:jc w:val="both"/>
        <w:rPr>
          <w:rFonts w:ascii="AytoRoquetas Light Condensed" w:hAnsi="AytoRoquetas Light Condensed" w:cs="Arial"/>
          <w:b/>
          <w:bCs/>
          <w:sz w:val="20"/>
          <w:szCs w:val="20"/>
          <w:u w:val="single"/>
        </w:rPr>
      </w:pPr>
    </w:p>
    <w:p w14:paraId="5888B362" w14:textId="6F094AE1" w:rsidR="004C5C20" w:rsidRPr="00213E47" w:rsidRDefault="00213E47" w:rsidP="005D0659">
      <w:pPr>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drawing>
          <wp:inline distT="0" distB="0" distL="0" distR="0" wp14:anchorId="528A81F6" wp14:editId="504B0D93">
            <wp:extent cx="5400040" cy="1040130"/>
            <wp:effectExtent l="0" t="0" r="0" b="7620"/>
            <wp:docPr id="11833859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85992" name=""/>
                    <pic:cNvPicPr/>
                  </pic:nvPicPr>
                  <pic:blipFill>
                    <a:blip r:embed="rId11"/>
                    <a:stretch>
                      <a:fillRect/>
                    </a:stretch>
                  </pic:blipFill>
                  <pic:spPr>
                    <a:xfrm>
                      <a:off x="0" y="0"/>
                      <a:ext cx="5400040" cy="1040130"/>
                    </a:xfrm>
                    <a:prstGeom prst="rect">
                      <a:avLst/>
                    </a:prstGeom>
                  </pic:spPr>
                </pic:pic>
              </a:graphicData>
            </a:graphic>
          </wp:inline>
        </w:drawing>
      </w:r>
    </w:p>
    <w:p w14:paraId="0A8AC736" w14:textId="3462262B" w:rsidR="004C5C20" w:rsidRPr="00213E47" w:rsidRDefault="004C5C20" w:rsidP="005D0659">
      <w:pPr>
        <w:jc w:val="both"/>
        <w:rPr>
          <w:rFonts w:ascii="AytoRoquetas Light Condensed" w:hAnsi="AytoRoquetas Light Condensed" w:cs="Arial"/>
          <w:b/>
          <w:bCs/>
          <w:sz w:val="20"/>
          <w:szCs w:val="20"/>
          <w:u w:val="single"/>
        </w:rPr>
      </w:pPr>
    </w:p>
    <w:p w14:paraId="38700DC6" w14:textId="7FB2CD8B" w:rsidR="00E11B3B" w:rsidRPr="00213E47" w:rsidRDefault="00E11B3B" w:rsidP="005D0659">
      <w:pPr>
        <w:jc w:val="both"/>
        <w:rPr>
          <w:rFonts w:ascii="AytoRoquetas Light Condensed" w:hAnsi="AytoRoquetas Light Condensed" w:cs="Arial"/>
          <w:sz w:val="20"/>
          <w:szCs w:val="20"/>
          <w:lang w:val="en-US"/>
        </w:rPr>
      </w:pPr>
    </w:p>
    <w:p w14:paraId="58BCC57E" w14:textId="776F29AC" w:rsidR="00F932F6" w:rsidRPr="00213E47" w:rsidRDefault="00F932F6" w:rsidP="00F932F6">
      <w:pPr>
        <w:pStyle w:val="Prrafodelista"/>
        <w:numPr>
          <w:ilvl w:val="0"/>
          <w:numId w:val="9"/>
        </w:numPr>
        <w:ind w:left="0" w:firstLine="0"/>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PRESUPUESTO DE GATOS</w:t>
      </w:r>
    </w:p>
    <w:p w14:paraId="7E9E9940" w14:textId="256A3080" w:rsidR="00F932F6" w:rsidRPr="00213E47" w:rsidRDefault="00F932F6" w:rsidP="00F932F6">
      <w:pPr>
        <w:pStyle w:val="Prrafodelista"/>
        <w:ind w:left="0"/>
        <w:jc w:val="both"/>
        <w:rPr>
          <w:rFonts w:ascii="AytoRoquetas Light Condensed" w:hAnsi="AytoRoquetas Light Condensed" w:cs="Arial"/>
          <w:b/>
          <w:bCs/>
          <w:sz w:val="20"/>
          <w:szCs w:val="20"/>
          <w:u w:val="single"/>
        </w:rPr>
      </w:pPr>
    </w:p>
    <w:p w14:paraId="75D368E7" w14:textId="4A6C4DEB" w:rsidR="00F932F6" w:rsidRPr="00213E47" w:rsidRDefault="00F932F6" w:rsidP="00F932F6">
      <w:pPr>
        <w:pStyle w:val="Prrafodelista"/>
        <w:ind w:left="0"/>
        <w:jc w:val="both"/>
        <w:rPr>
          <w:rFonts w:ascii="AytoRoquetas Light Condensed" w:hAnsi="AytoRoquetas Light Condensed" w:cs="Arial"/>
          <w:b/>
          <w:bCs/>
          <w:sz w:val="20"/>
          <w:szCs w:val="20"/>
          <w:u w:val="single"/>
        </w:rPr>
      </w:pPr>
    </w:p>
    <w:p w14:paraId="37F60EB5" w14:textId="41E28198" w:rsidR="00F932F6" w:rsidRPr="00213E47" w:rsidRDefault="00213E47" w:rsidP="00F932F6">
      <w:pPr>
        <w:pStyle w:val="Prrafodelista"/>
        <w:ind w:left="0"/>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drawing>
          <wp:inline distT="0" distB="0" distL="0" distR="0" wp14:anchorId="299274D8" wp14:editId="03C38761">
            <wp:extent cx="5400040" cy="1878330"/>
            <wp:effectExtent l="0" t="0" r="0" b="7620"/>
            <wp:docPr id="392005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05068" name=""/>
                    <pic:cNvPicPr/>
                  </pic:nvPicPr>
                  <pic:blipFill>
                    <a:blip r:embed="rId12"/>
                    <a:stretch>
                      <a:fillRect/>
                    </a:stretch>
                  </pic:blipFill>
                  <pic:spPr>
                    <a:xfrm>
                      <a:off x="0" y="0"/>
                      <a:ext cx="5400040" cy="1878330"/>
                    </a:xfrm>
                    <a:prstGeom prst="rect">
                      <a:avLst/>
                    </a:prstGeom>
                  </pic:spPr>
                </pic:pic>
              </a:graphicData>
            </a:graphic>
          </wp:inline>
        </w:drawing>
      </w:r>
    </w:p>
    <w:p w14:paraId="705740B6" w14:textId="6A54AA6C" w:rsidR="00F932F6" w:rsidRPr="00213E47" w:rsidRDefault="00F932F6" w:rsidP="00F932F6">
      <w:pPr>
        <w:pStyle w:val="Prrafodelista"/>
        <w:ind w:left="0"/>
        <w:jc w:val="both"/>
        <w:rPr>
          <w:rFonts w:ascii="AytoRoquetas Light Condensed" w:hAnsi="AytoRoquetas Light Condensed" w:cs="Arial"/>
          <w:b/>
          <w:bCs/>
          <w:sz w:val="20"/>
          <w:szCs w:val="20"/>
          <w:u w:val="single"/>
        </w:rPr>
      </w:pPr>
    </w:p>
    <w:p w14:paraId="5E0D7EC5" w14:textId="3C06DF22" w:rsidR="00F932F6" w:rsidRPr="00213E47" w:rsidRDefault="004F74B1" w:rsidP="00F932F6">
      <w:pPr>
        <w:pStyle w:val="Prrafodelista"/>
        <w:ind w:left="0"/>
        <w:jc w:val="both"/>
        <w:rPr>
          <w:rFonts w:ascii="AytoRoquetas Light Condensed" w:hAnsi="AytoRoquetas Light Condensed" w:cs="Arial"/>
          <w:b/>
          <w:bCs/>
          <w:sz w:val="20"/>
          <w:szCs w:val="20"/>
          <w:u w:val="single"/>
        </w:rPr>
      </w:pPr>
      <w:r w:rsidRPr="004F74B1">
        <w:rPr>
          <w:rFonts w:ascii="AytoRoquetas Light Condensed" w:hAnsi="AytoRoquetas Light Condensed" w:cs="Arial"/>
          <w:b/>
          <w:bCs/>
          <w:sz w:val="20"/>
          <w:szCs w:val="20"/>
          <w:u w:val="single"/>
        </w:rPr>
        <w:drawing>
          <wp:inline distT="0" distB="0" distL="0" distR="0" wp14:anchorId="6EAAFE1B" wp14:editId="1C37B981">
            <wp:extent cx="5400040" cy="2872105"/>
            <wp:effectExtent l="0" t="0" r="0" b="4445"/>
            <wp:docPr id="2416094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09488" name=""/>
                    <pic:cNvPicPr/>
                  </pic:nvPicPr>
                  <pic:blipFill>
                    <a:blip r:embed="rId13"/>
                    <a:stretch>
                      <a:fillRect/>
                    </a:stretch>
                  </pic:blipFill>
                  <pic:spPr>
                    <a:xfrm>
                      <a:off x="0" y="0"/>
                      <a:ext cx="5400040" cy="2872105"/>
                    </a:xfrm>
                    <a:prstGeom prst="rect">
                      <a:avLst/>
                    </a:prstGeom>
                  </pic:spPr>
                </pic:pic>
              </a:graphicData>
            </a:graphic>
          </wp:inline>
        </w:drawing>
      </w:r>
    </w:p>
    <w:p w14:paraId="0092B045" w14:textId="19E69740" w:rsidR="00F932F6" w:rsidRPr="00213E47" w:rsidRDefault="00F932F6" w:rsidP="005D0659">
      <w:pPr>
        <w:pStyle w:val="Prrafodelista"/>
        <w:ind w:left="0"/>
        <w:jc w:val="both"/>
        <w:rPr>
          <w:rFonts w:ascii="AytoRoquetas Light Condensed" w:hAnsi="AytoRoquetas Light Condensed" w:cs="Arial"/>
          <w:sz w:val="20"/>
          <w:szCs w:val="20"/>
          <w:lang w:val="en-US"/>
        </w:rPr>
      </w:pPr>
    </w:p>
    <w:p w14:paraId="3E451F6F" w14:textId="4D1AF243" w:rsidR="00F932F6" w:rsidRPr="00213E47" w:rsidRDefault="00F932F6" w:rsidP="005D0659">
      <w:pPr>
        <w:pStyle w:val="Prrafodelista"/>
        <w:ind w:left="0"/>
        <w:jc w:val="both"/>
        <w:rPr>
          <w:rFonts w:ascii="AytoRoquetas Light Condensed" w:hAnsi="AytoRoquetas Light Condensed" w:cs="Arial"/>
          <w:sz w:val="20"/>
          <w:szCs w:val="20"/>
          <w:lang w:val="en-US"/>
        </w:rPr>
      </w:pPr>
    </w:p>
    <w:p w14:paraId="2072266D" w14:textId="77777777" w:rsidR="00F932F6" w:rsidRPr="00213E47" w:rsidRDefault="00F932F6" w:rsidP="005D0659">
      <w:pPr>
        <w:pStyle w:val="Prrafodelista"/>
        <w:ind w:left="0"/>
        <w:jc w:val="both"/>
        <w:rPr>
          <w:rFonts w:ascii="AytoRoquetas Light Condensed" w:hAnsi="AytoRoquetas Light Condensed" w:cs="Arial"/>
          <w:sz w:val="20"/>
          <w:szCs w:val="20"/>
          <w:lang w:val="en-US"/>
        </w:rPr>
      </w:pPr>
    </w:p>
    <w:p w14:paraId="41335952" w14:textId="06C4D166" w:rsidR="00026393" w:rsidRPr="00213E47" w:rsidRDefault="00D4406F" w:rsidP="005D0659">
      <w:pPr>
        <w:numPr>
          <w:ilvl w:val="0"/>
          <w:numId w:val="9"/>
        </w:numPr>
        <w:ind w:left="0" w:firstLine="0"/>
        <w:jc w:val="both"/>
        <w:rPr>
          <w:rFonts w:ascii="AytoRoquetas Light Condensed" w:hAnsi="AytoRoquetas Light Condensed" w:cs="Arial"/>
          <w:b/>
          <w:bCs/>
          <w:sz w:val="20"/>
          <w:szCs w:val="20"/>
          <w:u w:val="single"/>
        </w:rPr>
      </w:pPr>
      <w:bookmarkStart w:id="2" w:name="_Hlk73438621"/>
      <w:r w:rsidRPr="00213E47">
        <w:rPr>
          <w:rFonts w:ascii="AytoRoquetas Light Condensed" w:hAnsi="AytoRoquetas Light Condensed" w:cs="Arial"/>
          <w:b/>
          <w:bCs/>
          <w:sz w:val="20"/>
          <w:szCs w:val="20"/>
          <w:u w:val="single"/>
        </w:rPr>
        <w:t>INFORMACIÓN</w:t>
      </w:r>
      <w:r w:rsidR="00026393" w:rsidRPr="00213E47">
        <w:rPr>
          <w:rFonts w:ascii="AytoRoquetas Light Condensed" w:hAnsi="AytoRoquetas Light Condensed" w:cs="Arial"/>
          <w:b/>
          <w:bCs/>
          <w:sz w:val="20"/>
          <w:szCs w:val="20"/>
          <w:u w:val="single"/>
        </w:rPr>
        <w:t xml:space="preserve"> FINANCIEROS, PATRIMONIALES Y PRESUPUESTARIOS</w:t>
      </w:r>
    </w:p>
    <w:bookmarkEnd w:id="2"/>
    <w:p w14:paraId="69F683A4" w14:textId="77777777" w:rsidR="00026393" w:rsidRPr="00213E47" w:rsidRDefault="00026393" w:rsidP="005D0659">
      <w:pPr>
        <w:jc w:val="both"/>
        <w:rPr>
          <w:rFonts w:ascii="AytoRoquetas Light Condensed" w:hAnsi="AytoRoquetas Light Condensed" w:cs="Arial"/>
          <w:b/>
          <w:bCs/>
          <w:sz w:val="20"/>
          <w:szCs w:val="20"/>
          <w:u w:val="single"/>
        </w:rPr>
      </w:pPr>
    </w:p>
    <w:p w14:paraId="76F5EE35" w14:textId="77777777" w:rsidR="00026393" w:rsidRPr="00213E47" w:rsidRDefault="00026393" w:rsidP="005D0659">
      <w:pPr>
        <w:jc w:val="both"/>
        <w:rPr>
          <w:rFonts w:ascii="AytoRoquetas Light Condensed" w:hAnsi="AytoRoquetas Light Condensed" w:cs="Arial"/>
          <w:b/>
          <w:sz w:val="20"/>
          <w:szCs w:val="20"/>
        </w:rPr>
      </w:pPr>
      <w:r w:rsidRPr="00213E47">
        <w:rPr>
          <w:rFonts w:ascii="AytoRoquetas Light Condensed" w:hAnsi="AytoRoquetas Light Condensed" w:cs="Arial"/>
          <w:b/>
          <w:sz w:val="20"/>
          <w:szCs w:val="20"/>
        </w:rPr>
        <w:t>1. Indicadores financieros y patrimoniales.</w:t>
      </w:r>
    </w:p>
    <w:p w14:paraId="18113C76" w14:textId="77777777" w:rsidR="00026393" w:rsidRPr="00213E47" w:rsidRDefault="00026393" w:rsidP="005D0659">
      <w:pPr>
        <w:jc w:val="both"/>
        <w:rPr>
          <w:rFonts w:ascii="AytoRoquetas Light Condensed" w:hAnsi="AytoRoquetas Light Condensed" w:cs="Arial"/>
          <w:sz w:val="20"/>
          <w:szCs w:val="20"/>
          <w:lang w:val="en-US"/>
        </w:rPr>
      </w:pPr>
    </w:p>
    <w:p w14:paraId="6849292C"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LIQUIDEZ INMEDIATA: Refleja el porcentaje de deudas presupuestarias y no presupuestarias que pueden atenderse con la liquidez inmediatamente disponible.</w:t>
      </w:r>
    </w:p>
    <w:p w14:paraId="59BD6090" w14:textId="77777777" w:rsidR="00026393" w:rsidRPr="00AA5375" w:rsidRDefault="00026393" w:rsidP="005D0659">
      <w:pPr>
        <w:jc w:val="both"/>
        <w:rPr>
          <w:rFonts w:ascii="AytoRoquetas Light Condensed" w:hAnsi="AytoRoquetas Light Condensed" w:cs="Arial"/>
          <w:sz w:val="20"/>
          <w:szCs w:val="20"/>
        </w:rPr>
      </w:pPr>
    </w:p>
    <w:p w14:paraId="512E5D83"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LIQUIDEZ A CORTO PLAZO: Refleja la capacidad que tiene la entidad para atender a corto plazo sus obligaciones pendientes de pago.</w:t>
      </w:r>
    </w:p>
    <w:p w14:paraId="7AC64553" w14:textId="77777777" w:rsidR="00026393" w:rsidRPr="00AA5375" w:rsidRDefault="00026393" w:rsidP="005D0659">
      <w:pPr>
        <w:jc w:val="both"/>
        <w:rPr>
          <w:rFonts w:ascii="AytoRoquetas Light Condensed" w:hAnsi="AytoRoquetas Light Condensed" w:cs="Arial"/>
          <w:sz w:val="20"/>
          <w:szCs w:val="20"/>
        </w:rPr>
      </w:pPr>
    </w:p>
    <w:p w14:paraId="7B647413"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LIQUIDEZ GENERAL. Refleja en qué medida todos los elementos patrimoniales que componen el activo corriente cubren el pasivo corriente.</w:t>
      </w:r>
    </w:p>
    <w:p w14:paraId="57C603EC" w14:textId="77777777" w:rsidR="00026393" w:rsidRPr="00AA5375" w:rsidRDefault="00026393" w:rsidP="005D0659">
      <w:pPr>
        <w:jc w:val="both"/>
        <w:rPr>
          <w:rFonts w:ascii="AytoRoquetas Light Condensed" w:hAnsi="AytoRoquetas Light Condensed" w:cs="Arial"/>
          <w:sz w:val="20"/>
          <w:szCs w:val="20"/>
        </w:rPr>
      </w:pPr>
    </w:p>
    <w:p w14:paraId="62915ADC"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ENDEUDAMIENTO POR HABITANTE: En las entidades territoriales y sus organismos autónomos, este índice distribuye la deuda total de la entidad entre el número de habitantes.</w:t>
      </w:r>
    </w:p>
    <w:p w14:paraId="7D5799DC" w14:textId="77777777" w:rsidR="00026393" w:rsidRPr="00AA5375" w:rsidRDefault="00026393" w:rsidP="005D0659">
      <w:pPr>
        <w:jc w:val="both"/>
        <w:rPr>
          <w:rFonts w:ascii="AytoRoquetas Light Condensed" w:hAnsi="AytoRoquetas Light Condensed" w:cs="Arial"/>
          <w:sz w:val="20"/>
          <w:szCs w:val="20"/>
        </w:rPr>
      </w:pPr>
    </w:p>
    <w:p w14:paraId="0C72FDCE"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ENDEUDAMIENTO: Representa la relación entre la totalidad del pasivo exigible (corriente y no corriente) respecto al patrimonio neto más el pasivo total de la entidad.</w:t>
      </w:r>
    </w:p>
    <w:p w14:paraId="327F7219" w14:textId="77777777" w:rsidR="00026393" w:rsidRPr="00AA5375" w:rsidRDefault="00026393" w:rsidP="005D0659">
      <w:pPr>
        <w:jc w:val="both"/>
        <w:rPr>
          <w:rFonts w:ascii="AytoRoquetas Light Condensed" w:hAnsi="AytoRoquetas Light Condensed" w:cs="Arial"/>
          <w:sz w:val="20"/>
          <w:szCs w:val="20"/>
        </w:rPr>
      </w:pPr>
    </w:p>
    <w:p w14:paraId="5E48EDA4"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RELACIÓN DE ENDEUDAMIENTO: Representa la relación existente entre el pasivo corriente y el no corriente.</w:t>
      </w:r>
    </w:p>
    <w:p w14:paraId="2ED18E23" w14:textId="77777777" w:rsidR="00026393" w:rsidRPr="00AA5375" w:rsidRDefault="00026393" w:rsidP="005D0659">
      <w:pPr>
        <w:jc w:val="both"/>
        <w:rPr>
          <w:rFonts w:ascii="AytoRoquetas Light Condensed" w:hAnsi="AytoRoquetas Light Condensed" w:cs="Arial"/>
          <w:sz w:val="20"/>
          <w:szCs w:val="20"/>
        </w:rPr>
      </w:pPr>
    </w:p>
    <w:p w14:paraId="38469B39" w14:textId="77777777" w:rsidR="00026393" w:rsidRPr="00AA5375" w:rsidRDefault="00026393" w:rsidP="005D0659">
      <w:pPr>
        <w:jc w:val="both"/>
        <w:rPr>
          <w:rFonts w:ascii="AytoRoquetas Light Condensed" w:hAnsi="AytoRoquetas Light Condensed" w:cs="Arial"/>
          <w:sz w:val="20"/>
          <w:szCs w:val="20"/>
        </w:rPr>
      </w:pPr>
    </w:p>
    <w:p w14:paraId="07BDB0A1" w14:textId="77777777" w:rsidR="00026393" w:rsidRPr="00AA5375" w:rsidRDefault="00026393" w:rsidP="005D0659">
      <w:pPr>
        <w:numPr>
          <w:ilvl w:val="0"/>
          <w:numId w:val="7"/>
        </w:numPr>
        <w:ind w:left="0" w:firstLine="0"/>
        <w:jc w:val="both"/>
        <w:rPr>
          <w:rFonts w:ascii="AytoRoquetas Light Condensed" w:hAnsi="AytoRoquetas Light Condensed" w:cs="Arial"/>
          <w:sz w:val="20"/>
          <w:szCs w:val="20"/>
        </w:rPr>
      </w:pPr>
      <w:r w:rsidRPr="00AA5375">
        <w:rPr>
          <w:rFonts w:ascii="AytoRoquetas Light Condensed" w:hAnsi="AytoRoquetas Light Condensed" w:cs="Arial"/>
          <w:sz w:val="20"/>
          <w:szCs w:val="20"/>
        </w:rPr>
        <w:t>CASH-FLOW: Representa la relación entre el pasivo neto no corriente y los flujos netos de gestión más la relación del pasivo corriente y los flujos netos de gestión.</w:t>
      </w:r>
    </w:p>
    <w:p w14:paraId="132DB894" w14:textId="77777777" w:rsidR="00026393" w:rsidRPr="00213E47" w:rsidRDefault="00026393" w:rsidP="005D0659">
      <w:pPr>
        <w:jc w:val="both"/>
        <w:rPr>
          <w:rFonts w:ascii="AytoRoquetas Light Condensed" w:hAnsi="AytoRoquetas Light Condensed" w:cs="Arial"/>
          <w:sz w:val="20"/>
          <w:szCs w:val="20"/>
          <w:lang w:val="en-US"/>
        </w:rPr>
      </w:pPr>
    </w:p>
    <w:p w14:paraId="5C0EC00F" w14:textId="798B58EA" w:rsidR="00026393" w:rsidRPr="00213E47" w:rsidRDefault="00026393" w:rsidP="005D0659">
      <w:pPr>
        <w:jc w:val="both"/>
        <w:rPr>
          <w:rFonts w:ascii="AytoRoquetas Light Condensed" w:hAnsi="AytoRoquetas Light Condensed" w:cs="Arial"/>
          <w:sz w:val="20"/>
          <w:szCs w:val="20"/>
          <w:lang w:val="en-US"/>
        </w:rPr>
      </w:pPr>
    </w:p>
    <w:p w14:paraId="1A70689B" w14:textId="30A9497E" w:rsidR="00026393" w:rsidRPr="00213E47" w:rsidRDefault="00AA5375" w:rsidP="005D0659">
      <w:pPr>
        <w:jc w:val="both"/>
        <w:rPr>
          <w:rFonts w:ascii="AytoRoquetas Light Condensed" w:hAnsi="AytoRoquetas Light Condensed" w:cs="Arial"/>
          <w:sz w:val="20"/>
          <w:szCs w:val="20"/>
          <w:lang w:val="en-US"/>
        </w:rPr>
      </w:pPr>
      <w:r w:rsidRPr="00AA5375">
        <w:rPr>
          <w:rFonts w:ascii="AytoRoquetas Light Condensed" w:hAnsi="AytoRoquetas Light Condensed" w:cs="Arial"/>
          <w:sz w:val="20"/>
          <w:szCs w:val="20"/>
          <w:lang w:val="en-US"/>
        </w:rPr>
        <w:lastRenderedPageBreak/>
        <w:drawing>
          <wp:inline distT="0" distB="0" distL="0" distR="0" wp14:anchorId="69752184" wp14:editId="03528305">
            <wp:extent cx="5400040" cy="5780598"/>
            <wp:effectExtent l="0" t="0" r="0" b="0"/>
            <wp:docPr id="19962452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45264" name=""/>
                    <pic:cNvPicPr/>
                  </pic:nvPicPr>
                  <pic:blipFill>
                    <a:blip r:embed="rId14"/>
                    <a:stretch>
                      <a:fillRect/>
                    </a:stretch>
                  </pic:blipFill>
                  <pic:spPr>
                    <a:xfrm>
                      <a:off x="0" y="0"/>
                      <a:ext cx="5402747" cy="5783496"/>
                    </a:xfrm>
                    <a:prstGeom prst="rect">
                      <a:avLst/>
                    </a:prstGeom>
                  </pic:spPr>
                </pic:pic>
              </a:graphicData>
            </a:graphic>
          </wp:inline>
        </w:drawing>
      </w:r>
    </w:p>
    <w:p w14:paraId="26CE0AE5" w14:textId="4C25D978" w:rsidR="00026393" w:rsidRPr="00213E47" w:rsidRDefault="00026393" w:rsidP="005D0659">
      <w:pPr>
        <w:jc w:val="both"/>
        <w:rPr>
          <w:rFonts w:ascii="AytoRoquetas Light Condensed" w:hAnsi="AytoRoquetas Light Condensed" w:cs="Arial"/>
          <w:b/>
          <w:bCs/>
          <w:sz w:val="20"/>
          <w:szCs w:val="20"/>
        </w:rPr>
      </w:pPr>
    </w:p>
    <w:p w14:paraId="6314C0FC" w14:textId="3B899BFF" w:rsidR="001937B2" w:rsidRPr="00213E47" w:rsidRDefault="00AA5375" w:rsidP="005D0659">
      <w:pPr>
        <w:jc w:val="both"/>
        <w:rPr>
          <w:rFonts w:ascii="AytoRoquetas Light Condensed" w:hAnsi="AytoRoquetas Light Condensed" w:cs="Arial"/>
          <w:b/>
          <w:bCs/>
          <w:sz w:val="20"/>
          <w:szCs w:val="20"/>
        </w:rPr>
      </w:pPr>
      <w:r w:rsidRPr="00AA5375">
        <w:rPr>
          <w:rFonts w:ascii="AytoRoquetas Light Condensed" w:hAnsi="AytoRoquetas Light Condensed" w:cs="Arial"/>
          <w:b/>
          <w:bCs/>
          <w:sz w:val="20"/>
          <w:szCs w:val="20"/>
        </w:rPr>
        <w:drawing>
          <wp:inline distT="0" distB="0" distL="0" distR="0" wp14:anchorId="29325B48" wp14:editId="6654B921">
            <wp:extent cx="5400040" cy="2258170"/>
            <wp:effectExtent l="0" t="0" r="0" b="8890"/>
            <wp:docPr id="12059094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09481" name=""/>
                    <pic:cNvPicPr/>
                  </pic:nvPicPr>
                  <pic:blipFill>
                    <a:blip r:embed="rId15"/>
                    <a:stretch>
                      <a:fillRect/>
                    </a:stretch>
                  </pic:blipFill>
                  <pic:spPr>
                    <a:xfrm>
                      <a:off x="0" y="0"/>
                      <a:ext cx="5403689" cy="2259696"/>
                    </a:xfrm>
                    <a:prstGeom prst="rect">
                      <a:avLst/>
                    </a:prstGeom>
                  </pic:spPr>
                </pic:pic>
              </a:graphicData>
            </a:graphic>
          </wp:inline>
        </w:drawing>
      </w:r>
    </w:p>
    <w:p w14:paraId="5F7DD21D" w14:textId="78F294CC" w:rsidR="001937B2" w:rsidRPr="00213E47" w:rsidRDefault="001937B2" w:rsidP="005D0659">
      <w:pPr>
        <w:jc w:val="both"/>
        <w:rPr>
          <w:rFonts w:ascii="AytoRoquetas Light Condensed" w:hAnsi="AytoRoquetas Light Condensed" w:cs="Arial"/>
          <w:b/>
          <w:bCs/>
          <w:sz w:val="20"/>
          <w:szCs w:val="20"/>
        </w:rPr>
      </w:pPr>
    </w:p>
    <w:p w14:paraId="0D435664" w14:textId="242BE938" w:rsidR="001937B2" w:rsidRPr="00213E47" w:rsidRDefault="004C3976" w:rsidP="005D0659">
      <w:pPr>
        <w:jc w:val="both"/>
        <w:rPr>
          <w:rFonts w:ascii="AytoRoquetas Light Condensed" w:hAnsi="AytoRoquetas Light Condensed" w:cs="Arial"/>
          <w:b/>
          <w:bCs/>
          <w:sz w:val="20"/>
          <w:szCs w:val="20"/>
        </w:rPr>
      </w:pPr>
      <w:r w:rsidRPr="004C3976">
        <w:rPr>
          <w:rFonts w:ascii="AytoRoquetas Light Condensed" w:hAnsi="AytoRoquetas Light Condensed" w:cs="Arial"/>
          <w:b/>
          <w:bCs/>
          <w:sz w:val="20"/>
          <w:szCs w:val="20"/>
        </w:rPr>
        <w:lastRenderedPageBreak/>
        <w:drawing>
          <wp:inline distT="0" distB="0" distL="0" distR="0" wp14:anchorId="439EBD6B" wp14:editId="57DB4FDB">
            <wp:extent cx="5239910" cy="6515822"/>
            <wp:effectExtent l="0" t="0" r="0" b="0"/>
            <wp:docPr id="2093702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2215" name=""/>
                    <pic:cNvPicPr/>
                  </pic:nvPicPr>
                  <pic:blipFill>
                    <a:blip r:embed="rId16"/>
                    <a:stretch>
                      <a:fillRect/>
                    </a:stretch>
                  </pic:blipFill>
                  <pic:spPr>
                    <a:xfrm>
                      <a:off x="0" y="0"/>
                      <a:ext cx="5248535" cy="6526547"/>
                    </a:xfrm>
                    <a:prstGeom prst="rect">
                      <a:avLst/>
                    </a:prstGeom>
                  </pic:spPr>
                </pic:pic>
              </a:graphicData>
            </a:graphic>
          </wp:inline>
        </w:drawing>
      </w:r>
    </w:p>
    <w:p w14:paraId="5A62CB93" w14:textId="1B28BB85" w:rsidR="001937B2" w:rsidRPr="00213E47" w:rsidRDefault="001937B2" w:rsidP="005D0659">
      <w:pPr>
        <w:jc w:val="both"/>
        <w:rPr>
          <w:rFonts w:ascii="AytoRoquetas Light Condensed" w:hAnsi="AytoRoquetas Light Condensed" w:cs="Arial"/>
          <w:b/>
          <w:bCs/>
          <w:sz w:val="20"/>
          <w:szCs w:val="20"/>
        </w:rPr>
      </w:pPr>
    </w:p>
    <w:p w14:paraId="04AE8D20" w14:textId="25E2A439" w:rsidR="001937B2" w:rsidRPr="00213E47" w:rsidRDefault="004C3976" w:rsidP="005D0659">
      <w:pPr>
        <w:jc w:val="both"/>
        <w:rPr>
          <w:rFonts w:ascii="AytoRoquetas Light Condensed" w:hAnsi="AytoRoquetas Light Condensed" w:cs="Arial"/>
          <w:b/>
          <w:bCs/>
          <w:sz w:val="20"/>
          <w:szCs w:val="20"/>
        </w:rPr>
      </w:pPr>
      <w:r w:rsidRPr="004C3976">
        <w:rPr>
          <w:rFonts w:ascii="AytoRoquetas Light Condensed" w:hAnsi="AytoRoquetas Light Condensed" w:cs="Arial"/>
          <w:b/>
          <w:bCs/>
          <w:sz w:val="20"/>
          <w:szCs w:val="20"/>
        </w:rPr>
        <w:lastRenderedPageBreak/>
        <w:drawing>
          <wp:inline distT="0" distB="0" distL="0" distR="0" wp14:anchorId="02C2DFAD" wp14:editId="626DB582">
            <wp:extent cx="5176300" cy="2650666"/>
            <wp:effectExtent l="0" t="0" r="5715" b="0"/>
            <wp:docPr id="6222900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90005" name=""/>
                    <pic:cNvPicPr/>
                  </pic:nvPicPr>
                  <pic:blipFill>
                    <a:blip r:embed="rId17"/>
                    <a:stretch>
                      <a:fillRect/>
                    </a:stretch>
                  </pic:blipFill>
                  <pic:spPr>
                    <a:xfrm>
                      <a:off x="0" y="0"/>
                      <a:ext cx="5191355" cy="2658375"/>
                    </a:xfrm>
                    <a:prstGeom prst="rect">
                      <a:avLst/>
                    </a:prstGeom>
                  </pic:spPr>
                </pic:pic>
              </a:graphicData>
            </a:graphic>
          </wp:inline>
        </w:drawing>
      </w:r>
    </w:p>
    <w:p w14:paraId="3CD8D5AD" w14:textId="77777777" w:rsidR="00B548D7" w:rsidRPr="00213E47" w:rsidRDefault="00B548D7" w:rsidP="005D0659">
      <w:pPr>
        <w:jc w:val="both"/>
        <w:rPr>
          <w:rFonts w:ascii="AytoRoquetas Light Condensed" w:hAnsi="AytoRoquetas Light Condensed" w:cs="Arial"/>
          <w:sz w:val="20"/>
          <w:szCs w:val="20"/>
          <w:lang w:val="en-US"/>
        </w:rPr>
      </w:pPr>
    </w:p>
    <w:p w14:paraId="658A1B9F" w14:textId="76F6F0FB" w:rsidR="00B548D7" w:rsidRPr="00213E47" w:rsidRDefault="00B548D7" w:rsidP="005D0659">
      <w:pPr>
        <w:pStyle w:val="Prrafodelista"/>
        <w:numPr>
          <w:ilvl w:val="0"/>
          <w:numId w:val="9"/>
        </w:numPr>
        <w:ind w:left="0" w:firstLine="0"/>
        <w:jc w:val="both"/>
        <w:rPr>
          <w:rFonts w:ascii="AytoRoquetas Light Condensed" w:hAnsi="AytoRoquetas Light Condensed" w:cs="Arial"/>
          <w:b/>
          <w:bCs/>
          <w:sz w:val="20"/>
          <w:szCs w:val="20"/>
          <w:u w:val="single"/>
        </w:rPr>
      </w:pPr>
      <w:r w:rsidRPr="00213E47">
        <w:rPr>
          <w:rFonts w:ascii="AytoRoquetas Light Condensed" w:hAnsi="AytoRoquetas Light Condensed" w:cs="Arial"/>
          <w:b/>
          <w:bCs/>
          <w:sz w:val="20"/>
          <w:szCs w:val="20"/>
          <w:u w:val="single"/>
        </w:rPr>
        <w:t>HECHOS POSTERIORES AL CIERRE.</w:t>
      </w:r>
    </w:p>
    <w:p w14:paraId="54516517" w14:textId="77777777" w:rsidR="00B548D7" w:rsidRPr="00213E47" w:rsidRDefault="00B548D7" w:rsidP="005D0659">
      <w:pPr>
        <w:jc w:val="both"/>
        <w:rPr>
          <w:rFonts w:ascii="AytoRoquetas Light Condensed" w:hAnsi="AytoRoquetas Light Condensed" w:cs="Arial"/>
          <w:sz w:val="20"/>
          <w:szCs w:val="20"/>
        </w:rPr>
      </w:pPr>
    </w:p>
    <w:p w14:paraId="33A2D3EB" w14:textId="77777777" w:rsidR="001937B2" w:rsidRPr="00213E47" w:rsidRDefault="001937B2" w:rsidP="005D0659">
      <w:pPr>
        <w:jc w:val="both"/>
        <w:rPr>
          <w:rFonts w:ascii="AytoRoquetas Light Condensed" w:hAnsi="AytoRoquetas Light Condensed" w:cs="Arial"/>
          <w:sz w:val="20"/>
          <w:szCs w:val="20"/>
        </w:rPr>
      </w:pPr>
    </w:p>
    <w:p w14:paraId="4A231323" w14:textId="58AF4F01" w:rsidR="001937B2" w:rsidRPr="00213E47" w:rsidRDefault="00750773"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Sin hechos significativos.</w:t>
      </w:r>
    </w:p>
    <w:p w14:paraId="5A3BDD40" w14:textId="77777777" w:rsidR="001937B2" w:rsidRPr="00213E47" w:rsidRDefault="001937B2" w:rsidP="005D0659">
      <w:pPr>
        <w:jc w:val="both"/>
        <w:rPr>
          <w:rFonts w:ascii="AytoRoquetas Light Condensed" w:hAnsi="AytoRoquetas Light Condensed" w:cs="Arial"/>
          <w:sz w:val="20"/>
          <w:szCs w:val="20"/>
        </w:rPr>
      </w:pPr>
    </w:p>
    <w:p w14:paraId="182BFB43" w14:textId="77777777" w:rsidR="001937B2" w:rsidRPr="00213E47" w:rsidRDefault="001937B2" w:rsidP="005D0659">
      <w:pPr>
        <w:jc w:val="both"/>
        <w:rPr>
          <w:rFonts w:ascii="AytoRoquetas Light Condensed" w:hAnsi="AytoRoquetas Light Condensed" w:cs="Arial"/>
          <w:sz w:val="20"/>
          <w:szCs w:val="20"/>
        </w:rPr>
      </w:pPr>
    </w:p>
    <w:p w14:paraId="3E22DB27" w14:textId="3FCD4E74" w:rsidR="00920D4E" w:rsidRPr="00213E47" w:rsidRDefault="00920D4E" w:rsidP="005D0659">
      <w:pPr>
        <w:jc w:val="both"/>
        <w:rPr>
          <w:rFonts w:ascii="AytoRoquetas Light Condensed" w:hAnsi="AytoRoquetas Light Condensed" w:cs="Arial"/>
          <w:sz w:val="20"/>
          <w:szCs w:val="20"/>
        </w:rPr>
      </w:pPr>
      <w:r w:rsidRPr="00213E47">
        <w:rPr>
          <w:rFonts w:ascii="AytoRoquetas Light Condensed" w:hAnsi="AytoRoquetas Light Condensed" w:cs="Arial"/>
          <w:sz w:val="20"/>
          <w:szCs w:val="20"/>
        </w:rPr>
        <w:t xml:space="preserve">En </w:t>
      </w:r>
      <w:r w:rsidR="001937B2" w:rsidRPr="00213E47">
        <w:rPr>
          <w:rFonts w:ascii="AytoRoquetas Light Condensed" w:hAnsi="AytoRoquetas Light Condensed" w:cs="Arial"/>
          <w:sz w:val="20"/>
          <w:szCs w:val="20"/>
        </w:rPr>
        <w:t>Roquetas de Mar</w:t>
      </w:r>
      <w:r w:rsidRPr="00213E47">
        <w:rPr>
          <w:rFonts w:ascii="AytoRoquetas Light Condensed" w:hAnsi="AytoRoquetas Light Condensed" w:cs="Arial"/>
          <w:sz w:val="20"/>
          <w:szCs w:val="20"/>
        </w:rPr>
        <w:t>, a la fecha de la firma digital.</w:t>
      </w:r>
    </w:p>
    <w:p w14:paraId="5A3E3EE8" w14:textId="77777777" w:rsidR="00920D4E" w:rsidRPr="00213E47" w:rsidRDefault="00920D4E" w:rsidP="005D0659">
      <w:pPr>
        <w:jc w:val="both"/>
        <w:rPr>
          <w:rFonts w:ascii="AytoRoquetas Light Condensed" w:hAnsi="AytoRoquetas Light Condensed" w:cs="Arial"/>
          <w:sz w:val="20"/>
          <w:szCs w:val="20"/>
        </w:rPr>
      </w:pPr>
    </w:p>
    <w:p w14:paraId="21003F06" w14:textId="77777777" w:rsidR="00920D4E" w:rsidRPr="00213E47" w:rsidRDefault="00920D4E" w:rsidP="005D0659">
      <w:pPr>
        <w:jc w:val="both"/>
        <w:rPr>
          <w:rFonts w:ascii="AytoRoquetas Light Condensed" w:hAnsi="AytoRoquetas Light Condensed" w:cs="Arial"/>
          <w:sz w:val="20"/>
          <w:szCs w:val="20"/>
        </w:rPr>
      </w:pPr>
    </w:p>
    <w:p w14:paraId="2F5A3878" w14:textId="33351FCC" w:rsidR="00920D4E" w:rsidRPr="00213E47" w:rsidRDefault="00920D4E" w:rsidP="005D0659">
      <w:pPr>
        <w:jc w:val="both"/>
        <w:rPr>
          <w:rFonts w:ascii="AytoRoquetas Light Condensed" w:hAnsi="AytoRoquetas Light Condensed" w:cs="Arial"/>
          <w:sz w:val="20"/>
          <w:szCs w:val="20"/>
        </w:rPr>
      </w:pPr>
    </w:p>
    <w:p w14:paraId="1811A489" w14:textId="77777777" w:rsidR="00920D4E" w:rsidRPr="00213E47" w:rsidRDefault="00920D4E" w:rsidP="005D0659">
      <w:pPr>
        <w:jc w:val="both"/>
        <w:rPr>
          <w:rFonts w:ascii="AytoRoquetas Light Condensed" w:hAnsi="AytoRoquetas Light Condensed" w:cs="Arial"/>
          <w:sz w:val="20"/>
          <w:szCs w:val="20"/>
        </w:rPr>
      </w:pPr>
    </w:p>
    <w:p w14:paraId="7E6B454C" w14:textId="744E6DD7" w:rsidR="0078283E" w:rsidRPr="00213E47" w:rsidRDefault="0078283E" w:rsidP="005D0659">
      <w:pPr>
        <w:jc w:val="both"/>
        <w:rPr>
          <w:rFonts w:ascii="AytoRoquetas Light Condensed" w:hAnsi="AytoRoquetas Light Condensed" w:cs="Arial"/>
          <w:sz w:val="20"/>
          <w:szCs w:val="20"/>
        </w:rPr>
      </w:pPr>
    </w:p>
    <w:sectPr w:rsidR="0078283E" w:rsidRPr="00213E4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8B5D" w14:textId="77777777" w:rsidR="00065F6E" w:rsidRDefault="00065F6E" w:rsidP="00065F6E">
      <w:r>
        <w:separator/>
      </w:r>
    </w:p>
  </w:endnote>
  <w:endnote w:type="continuationSeparator" w:id="0">
    <w:p w14:paraId="68AE48DD" w14:textId="77777777" w:rsidR="00065F6E" w:rsidRDefault="00065F6E" w:rsidP="0006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5911" w14:textId="77777777" w:rsidR="00D4406F" w:rsidRDefault="00D4406F">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10E656FE" w14:textId="77777777" w:rsidR="00D4406F" w:rsidRDefault="00D440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AB12" w14:textId="77777777" w:rsidR="00065F6E" w:rsidRDefault="00065F6E" w:rsidP="00065F6E">
      <w:r>
        <w:separator/>
      </w:r>
    </w:p>
  </w:footnote>
  <w:footnote w:type="continuationSeparator" w:id="0">
    <w:p w14:paraId="5EEA3C20" w14:textId="77777777" w:rsidR="00065F6E" w:rsidRDefault="00065F6E" w:rsidP="00065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50B3" w14:textId="736A5A45" w:rsidR="00B632C1" w:rsidRPr="000E786E" w:rsidRDefault="00EB2EFC" w:rsidP="00B632C1">
    <w:pPr>
      <w:pStyle w:val="Encabezado"/>
      <w:tabs>
        <w:tab w:val="clear" w:pos="4252"/>
        <w:tab w:val="left" w:pos="1440"/>
      </w:tabs>
      <w:rPr>
        <w:sz w:val="22"/>
        <w:szCs w:val="22"/>
      </w:rPr>
    </w:pPr>
    <w:r>
      <w:tab/>
    </w:r>
  </w:p>
  <w:p w14:paraId="3406E49A" w14:textId="60B47F12" w:rsidR="00EB2EFC" w:rsidRPr="000E786E" w:rsidRDefault="00B632C1" w:rsidP="000E786E">
    <w:pPr>
      <w:pStyle w:val="Encabezado"/>
      <w:tabs>
        <w:tab w:val="clear" w:pos="4252"/>
        <w:tab w:val="left" w:pos="1440"/>
      </w:tabs>
      <w:rPr>
        <w:sz w:val="22"/>
        <w:szCs w:val="22"/>
      </w:rPr>
    </w:pPr>
    <w:r>
      <w:rPr>
        <w:noProof/>
      </w:rPr>
      <w:drawing>
        <wp:inline distT="0" distB="0" distL="0" distR="0" wp14:anchorId="077BCFE7" wp14:editId="33E375C9">
          <wp:extent cx="1852930"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1852930" cy="78867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F2C"/>
    <w:multiLevelType w:val="hybridMultilevel"/>
    <w:tmpl w:val="6A06D13E"/>
    <w:lvl w:ilvl="0" w:tplc="13D40E16">
      <w:start w:val="7"/>
      <w:numFmt w:val="decimal"/>
      <w:lvlText w:val="%1."/>
      <w:lvlJc w:val="left"/>
      <w:pPr>
        <w:ind w:left="1080" w:hanging="360"/>
      </w:pPr>
      <w:rPr>
        <w:rFonts w:hint="default"/>
        <w:u w:val="single" w:color="385623"/>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58C68CD"/>
    <w:multiLevelType w:val="hybridMultilevel"/>
    <w:tmpl w:val="9A4E3172"/>
    <w:lvl w:ilvl="0" w:tplc="76C25AF4">
      <w:start w:val="1"/>
      <w:numFmt w:val="decimal"/>
      <w:lvlText w:val="%1."/>
      <w:lvlJc w:val="left"/>
      <w:pPr>
        <w:ind w:left="700" w:hanging="360"/>
      </w:pPr>
      <w:rPr>
        <w:rFonts w:hint="default"/>
      </w:rPr>
    </w:lvl>
    <w:lvl w:ilvl="1" w:tplc="0C0A0019">
      <w:start w:val="1"/>
      <w:numFmt w:val="lowerLetter"/>
      <w:lvlText w:val="%2."/>
      <w:lvlJc w:val="left"/>
      <w:pPr>
        <w:ind w:left="1420" w:hanging="360"/>
      </w:pPr>
    </w:lvl>
    <w:lvl w:ilvl="2" w:tplc="0C0A001B">
      <w:start w:val="1"/>
      <w:numFmt w:val="lowerRoman"/>
      <w:lvlText w:val="%3."/>
      <w:lvlJc w:val="right"/>
      <w:pPr>
        <w:ind w:left="2140" w:hanging="180"/>
      </w:pPr>
    </w:lvl>
    <w:lvl w:ilvl="3" w:tplc="0C0A000F">
      <w:start w:val="1"/>
      <w:numFmt w:val="decimal"/>
      <w:lvlText w:val="%4."/>
      <w:lvlJc w:val="left"/>
      <w:pPr>
        <w:ind w:left="2860" w:hanging="360"/>
      </w:pPr>
    </w:lvl>
    <w:lvl w:ilvl="4" w:tplc="0C0A0019">
      <w:start w:val="1"/>
      <w:numFmt w:val="lowerLetter"/>
      <w:lvlText w:val="%5."/>
      <w:lvlJc w:val="left"/>
      <w:pPr>
        <w:ind w:left="3580" w:hanging="360"/>
      </w:pPr>
    </w:lvl>
    <w:lvl w:ilvl="5" w:tplc="0C0A001B">
      <w:start w:val="1"/>
      <w:numFmt w:val="lowerRoman"/>
      <w:lvlText w:val="%6."/>
      <w:lvlJc w:val="right"/>
      <w:pPr>
        <w:ind w:left="4300" w:hanging="180"/>
      </w:pPr>
    </w:lvl>
    <w:lvl w:ilvl="6" w:tplc="0C0A000F">
      <w:start w:val="1"/>
      <w:numFmt w:val="decimal"/>
      <w:lvlText w:val="%7."/>
      <w:lvlJc w:val="left"/>
      <w:pPr>
        <w:ind w:left="5020" w:hanging="360"/>
      </w:pPr>
    </w:lvl>
    <w:lvl w:ilvl="7" w:tplc="0C0A0019">
      <w:start w:val="1"/>
      <w:numFmt w:val="lowerLetter"/>
      <w:lvlText w:val="%8."/>
      <w:lvlJc w:val="left"/>
      <w:pPr>
        <w:ind w:left="5740" w:hanging="360"/>
      </w:pPr>
    </w:lvl>
    <w:lvl w:ilvl="8" w:tplc="0C0A001B">
      <w:start w:val="1"/>
      <w:numFmt w:val="lowerRoman"/>
      <w:lvlText w:val="%9."/>
      <w:lvlJc w:val="right"/>
      <w:pPr>
        <w:ind w:left="6460" w:hanging="180"/>
      </w:pPr>
    </w:lvl>
  </w:abstractNum>
  <w:abstractNum w:abstractNumId="2" w15:restartNumberingAfterBreak="0">
    <w:nsid w:val="14FE02A4"/>
    <w:multiLevelType w:val="hybridMultilevel"/>
    <w:tmpl w:val="E67EF4E8"/>
    <w:lvl w:ilvl="0" w:tplc="337C6C42">
      <w:start w:val="7"/>
      <w:numFmt w:val="decimal"/>
      <w:lvlText w:val="%1."/>
      <w:lvlJc w:val="left"/>
      <w:pPr>
        <w:ind w:left="928" w:hanging="360"/>
      </w:pPr>
      <w:rPr>
        <w:rFonts w:hint="default"/>
        <w:b/>
        <w:i w:val="0"/>
        <w:iCs w:val="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5424900"/>
    <w:multiLevelType w:val="hybridMultilevel"/>
    <w:tmpl w:val="CF6C08CA"/>
    <w:lvl w:ilvl="0" w:tplc="EB14048C">
      <w:start w:val="1"/>
      <w:numFmt w:val="decimal"/>
      <w:lvlText w:val="%1."/>
      <w:lvlJc w:val="left"/>
      <w:pPr>
        <w:ind w:left="1040" w:hanging="360"/>
      </w:pPr>
      <w:rPr>
        <w:rFonts w:hint="default"/>
      </w:rPr>
    </w:lvl>
    <w:lvl w:ilvl="1" w:tplc="0C0A0019">
      <w:start w:val="1"/>
      <w:numFmt w:val="lowerLetter"/>
      <w:lvlText w:val="%2."/>
      <w:lvlJc w:val="left"/>
      <w:pPr>
        <w:ind w:left="1760" w:hanging="360"/>
      </w:pPr>
    </w:lvl>
    <w:lvl w:ilvl="2" w:tplc="0C0A001B">
      <w:start w:val="1"/>
      <w:numFmt w:val="lowerRoman"/>
      <w:lvlText w:val="%3."/>
      <w:lvlJc w:val="right"/>
      <w:pPr>
        <w:ind w:left="2480" w:hanging="180"/>
      </w:pPr>
    </w:lvl>
    <w:lvl w:ilvl="3" w:tplc="0C0A000F">
      <w:start w:val="1"/>
      <w:numFmt w:val="decimal"/>
      <w:lvlText w:val="%4."/>
      <w:lvlJc w:val="left"/>
      <w:pPr>
        <w:ind w:left="3200" w:hanging="360"/>
      </w:pPr>
    </w:lvl>
    <w:lvl w:ilvl="4" w:tplc="0C0A0019">
      <w:start w:val="1"/>
      <w:numFmt w:val="lowerLetter"/>
      <w:lvlText w:val="%5."/>
      <w:lvlJc w:val="left"/>
      <w:pPr>
        <w:ind w:left="3920" w:hanging="360"/>
      </w:pPr>
    </w:lvl>
    <w:lvl w:ilvl="5" w:tplc="0C0A001B">
      <w:start w:val="1"/>
      <w:numFmt w:val="lowerRoman"/>
      <w:lvlText w:val="%6."/>
      <w:lvlJc w:val="right"/>
      <w:pPr>
        <w:ind w:left="4640" w:hanging="180"/>
      </w:pPr>
    </w:lvl>
    <w:lvl w:ilvl="6" w:tplc="0C0A000F">
      <w:start w:val="1"/>
      <w:numFmt w:val="decimal"/>
      <w:lvlText w:val="%7."/>
      <w:lvlJc w:val="left"/>
      <w:pPr>
        <w:ind w:left="5360" w:hanging="360"/>
      </w:pPr>
    </w:lvl>
    <w:lvl w:ilvl="7" w:tplc="0C0A0019">
      <w:start w:val="1"/>
      <w:numFmt w:val="lowerLetter"/>
      <w:lvlText w:val="%8."/>
      <w:lvlJc w:val="left"/>
      <w:pPr>
        <w:ind w:left="6080" w:hanging="360"/>
      </w:pPr>
    </w:lvl>
    <w:lvl w:ilvl="8" w:tplc="0C0A001B">
      <w:start w:val="1"/>
      <w:numFmt w:val="lowerRoman"/>
      <w:lvlText w:val="%9."/>
      <w:lvlJc w:val="right"/>
      <w:pPr>
        <w:ind w:left="6800" w:hanging="180"/>
      </w:pPr>
    </w:lvl>
  </w:abstractNum>
  <w:abstractNum w:abstractNumId="4" w15:restartNumberingAfterBreak="0">
    <w:nsid w:val="1FA36774"/>
    <w:multiLevelType w:val="hybridMultilevel"/>
    <w:tmpl w:val="9D10F4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AE6A6E"/>
    <w:multiLevelType w:val="hybridMultilevel"/>
    <w:tmpl w:val="433EFAC0"/>
    <w:lvl w:ilvl="0" w:tplc="60A2A15C">
      <w:start w:val="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C68526A"/>
    <w:multiLevelType w:val="hybridMultilevel"/>
    <w:tmpl w:val="9FA85A2A"/>
    <w:lvl w:ilvl="0" w:tplc="55E46AAC">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AF09A6"/>
    <w:multiLevelType w:val="hybridMultilevel"/>
    <w:tmpl w:val="26BC5CA2"/>
    <w:lvl w:ilvl="0" w:tplc="2628215C">
      <w:start w:val="5"/>
      <w:numFmt w:val="decimal"/>
      <w:lvlText w:val="%1."/>
      <w:lvlJc w:val="left"/>
      <w:pPr>
        <w:ind w:left="1080" w:hanging="360"/>
      </w:pPr>
      <w:rPr>
        <w:rFonts w:hint="default"/>
        <w:b/>
        <w:bCs/>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3D0A730D"/>
    <w:multiLevelType w:val="hybridMultilevel"/>
    <w:tmpl w:val="6F5A49DE"/>
    <w:lvl w:ilvl="0" w:tplc="0C0A000F">
      <w:start w:val="2"/>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73268D8"/>
    <w:multiLevelType w:val="hybridMultilevel"/>
    <w:tmpl w:val="CFD6DE9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6C7E6E4A"/>
    <w:multiLevelType w:val="multilevel"/>
    <w:tmpl w:val="D6925EA6"/>
    <w:lvl w:ilvl="0">
      <w:start w:val="3"/>
      <w:numFmt w:val="decimal"/>
      <w:lvlText w:val="%1."/>
      <w:lvlJc w:val="left"/>
      <w:pPr>
        <w:ind w:left="1080" w:hanging="360"/>
      </w:pPr>
      <w:rPr>
        <w:u w:val="single" w:color="385623"/>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709679D"/>
    <w:multiLevelType w:val="hybridMultilevel"/>
    <w:tmpl w:val="94D8C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BBA6C51"/>
    <w:multiLevelType w:val="hybridMultilevel"/>
    <w:tmpl w:val="C7DCC40E"/>
    <w:lvl w:ilvl="0" w:tplc="60A2A15C">
      <w:start w:val="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976689680">
    <w:abstractNumId w:val="1"/>
  </w:num>
  <w:num w:numId="2" w16cid:durableId="1783306426">
    <w:abstractNumId w:val="3"/>
  </w:num>
  <w:num w:numId="3" w16cid:durableId="1382555616">
    <w:abstractNumId w:val="9"/>
  </w:num>
  <w:num w:numId="4" w16cid:durableId="65445768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9708535">
    <w:abstractNumId w:val="4"/>
  </w:num>
  <w:num w:numId="6" w16cid:durableId="236330358">
    <w:abstractNumId w:val="0"/>
  </w:num>
  <w:num w:numId="7" w16cid:durableId="617295931">
    <w:abstractNumId w:val="6"/>
  </w:num>
  <w:num w:numId="8" w16cid:durableId="1056319940">
    <w:abstractNumId w:val="8"/>
  </w:num>
  <w:num w:numId="9" w16cid:durableId="869301792">
    <w:abstractNumId w:val="7"/>
  </w:num>
  <w:num w:numId="10" w16cid:durableId="2130783798">
    <w:abstractNumId w:val="2"/>
  </w:num>
  <w:num w:numId="11" w16cid:durableId="1114861970">
    <w:abstractNumId w:val="12"/>
  </w:num>
  <w:num w:numId="12" w16cid:durableId="1566379058">
    <w:abstractNumId w:val="5"/>
  </w:num>
  <w:num w:numId="13" w16cid:durableId="59405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29"/>
    <w:rsid w:val="00026393"/>
    <w:rsid w:val="00065F6E"/>
    <w:rsid w:val="00076045"/>
    <w:rsid w:val="000852F5"/>
    <w:rsid w:val="00097C16"/>
    <w:rsid w:val="001429DE"/>
    <w:rsid w:val="00164ECF"/>
    <w:rsid w:val="00186877"/>
    <w:rsid w:val="001937B2"/>
    <w:rsid w:val="001A4FFF"/>
    <w:rsid w:val="001B2FDC"/>
    <w:rsid w:val="001B69DF"/>
    <w:rsid w:val="001D7CBE"/>
    <w:rsid w:val="00213E47"/>
    <w:rsid w:val="002320B8"/>
    <w:rsid w:val="00291829"/>
    <w:rsid w:val="00296AB7"/>
    <w:rsid w:val="002E1D43"/>
    <w:rsid w:val="002F4229"/>
    <w:rsid w:val="0032729B"/>
    <w:rsid w:val="004200A3"/>
    <w:rsid w:val="00423BCB"/>
    <w:rsid w:val="004C3976"/>
    <w:rsid w:val="004C5C20"/>
    <w:rsid w:val="004F74B1"/>
    <w:rsid w:val="005A327F"/>
    <w:rsid w:val="005B0729"/>
    <w:rsid w:val="005C1711"/>
    <w:rsid w:val="005D0659"/>
    <w:rsid w:val="005D297B"/>
    <w:rsid w:val="005F7A82"/>
    <w:rsid w:val="006A3F89"/>
    <w:rsid w:val="00704839"/>
    <w:rsid w:val="00740253"/>
    <w:rsid w:val="0074231F"/>
    <w:rsid w:val="00750773"/>
    <w:rsid w:val="0078283E"/>
    <w:rsid w:val="007D1F23"/>
    <w:rsid w:val="008250F9"/>
    <w:rsid w:val="0085401D"/>
    <w:rsid w:val="00854660"/>
    <w:rsid w:val="00875078"/>
    <w:rsid w:val="00883751"/>
    <w:rsid w:val="008A778D"/>
    <w:rsid w:val="009067D4"/>
    <w:rsid w:val="00920D4E"/>
    <w:rsid w:val="00926A53"/>
    <w:rsid w:val="00A34030"/>
    <w:rsid w:val="00AA5375"/>
    <w:rsid w:val="00AC2240"/>
    <w:rsid w:val="00B215BC"/>
    <w:rsid w:val="00B32FC0"/>
    <w:rsid w:val="00B548D7"/>
    <w:rsid w:val="00B632C1"/>
    <w:rsid w:val="00B658D0"/>
    <w:rsid w:val="00CB0EC9"/>
    <w:rsid w:val="00CF67AA"/>
    <w:rsid w:val="00D4406F"/>
    <w:rsid w:val="00D9615B"/>
    <w:rsid w:val="00DC5FD2"/>
    <w:rsid w:val="00DF79FC"/>
    <w:rsid w:val="00E11B3B"/>
    <w:rsid w:val="00E1506A"/>
    <w:rsid w:val="00E35339"/>
    <w:rsid w:val="00EB2EFC"/>
    <w:rsid w:val="00EF087D"/>
    <w:rsid w:val="00F932F6"/>
    <w:rsid w:val="00FA5B68"/>
    <w:rsid w:val="00FD5944"/>
    <w:rsid w:val="00FE4F3C"/>
    <w:rsid w:val="00FF5D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ED4CA6"/>
  <w15:chartTrackingRefBased/>
  <w15:docId w15:val="{DA73563C-6D63-449F-B7A5-D7342C34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ECF"/>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qFormat/>
    <w:rsid w:val="002F4229"/>
    <w:pPr>
      <w:keepNext/>
      <w:overflowPunct w:val="0"/>
      <w:autoSpaceDE w:val="0"/>
      <w:autoSpaceDN w:val="0"/>
      <w:adjustRightInd w:val="0"/>
      <w:ind w:left="345" w:hanging="283"/>
      <w:jc w:val="both"/>
      <w:textAlignment w:val="baseline"/>
      <w:outlineLvl w:val="1"/>
    </w:pPr>
    <w:rPr>
      <w:sz w:val="22"/>
      <w:szCs w:val="20"/>
      <w:u w:val="single"/>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F4229"/>
    <w:rPr>
      <w:rFonts w:ascii="Times New Roman" w:eastAsia="Times New Roman" w:hAnsi="Times New Roman" w:cs="Times New Roman"/>
      <w:szCs w:val="20"/>
      <w:u w:val="single"/>
      <w:lang w:val="es-ES_tradnl"/>
    </w:rPr>
  </w:style>
  <w:style w:type="paragraph" w:customStyle="1" w:styleId="Fecha1">
    <w:name w:val="Fecha1"/>
    <w:basedOn w:val="Normal"/>
    <w:next w:val="Normal"/>
    <w:rsid w:val="002F4229"/>
    <w:pPr>
      <w:overflowPunct w:val="0"/>
      <w:autoSpaceDE w:val="0"/>
      <w:autoSpaceDN w:val="0"/>
      <w:adjustRightInd w:val="0"/>
      <w:textAlignment w:val="baseline"/>
    </w:pPr>
    <w:rPr>
      <w:rFonts w:ascii="Times" w:hAnsi="Times"/>
      <w:sz w:val="28"/>
      <w:szCs w:val="20"/>
      <w:lang w:val="es-ES_tradnl" w:eastAsia="en-US"/>
    </w:rPr>
  </w:style>
  <w:style w:type="table" w:styleId="Tablaconcuadrcula">
    <w:name w:val="Table Grid"/>
    <w:basedOn w:val="Tablanormal"/>
    <w:uiPriority w:val="39"/>
    <w:rsid w:val="005D2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7A82"/>
    <w:pPr>
      <w:spacing w:before="100" w:beforeAutospacing="1" w:after="100" w:afterAutospacing="1"/>
    </w:pPr>
  </w:style>
  <w:style w:type="paragraph" w:styleId="Prrafodelista">
    <w:name w:val="List Paragraph"/>
    <w:basedOn w:val="Normal"/>
    <w:uiPriority w:val="34"/>
    <w:qFormat/>
    <w:rsid w:val="00026393"/>
    <w:pPr>
      <w:ind w:left="720"/>
      <w:contextualSpacing/>
    </w:pPr>
  </w:style>
  <w:style w:type="paragraph" w:styleId="Encabezado">
    <w:name w:val="header"/>
    <w:basedOn w:val="Normal"/>
    <w:link w:val="EncabezadoCar"/>
    <w:unhideWhenUsed/>
    <w:rsid w:val="00065F6E"/>
    <w:pPr>
      <w:tabs>
        <w:tab w:val="center" w:pos="4252"/>
        <w:tab w:val="right" w:pos="8504"/>
      </w:tabs>
    </w:pPr>
  </w:style>
  <w:style w:type="character" w:customStyle="1" w:styleId="EncabezadoCar">
    <w:name w:val="Encabezado Car"/>
    <w:basedOn w:val="Fuentedeprrafopredeter"/>
    <w:link w:val="Encabezado"/>
    <w:uiPriority w:val="99"/>
    <w:rsid w:val="00065F6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65F6E"/>
    <w:pPr>
      <w:tabs>
        <w:tab w:val="center" w:pos="4252"/>
        <w:tab w:val="right" w:pos="8504"/>
      </w:tabs>
    </w:pPr>
  </w:style>
  <w:style w:type="character" w:customStyle="1" w:styleId="PiedepginaCar">
    <w:name w:val="Pie de página Car"/>
    <w:basedOn w:val="Fuentedeprrafopredeter"/>
    <w:link w:val="Piedepgina"/>
    <w:uiPriority w:val="99"/>
    <w:rsid w:val="00065F6E"/>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10811">
      <w:bodyDiv w:val="1"/>
      <w:marLeft w:val="0"/>
      <w:marRight w:val="0"/>
      <w:marTop w:val="0"/>
      <w:marBottom w:val="0"/>
      <w:divBdr>
        <w:top w:val="none" w:sz="0" w:space="0" w:color="auto"/>
        <w:left w:val="none" w:sz="0" w:space="0" w:color="auto"/>
        <w:bottom w:val="none" w:sz="0" w:space="0" w:color="auto"/>
        <w:right w:val="none" w:sz="0" w:space="0" w:color="auto"/>
      </w:divBdr>
    </w:div>
    <w:div w:id="1065564564">
      <w:bodyDiv w:val="1"/>
      <w:marLeft w:val="0"/>
      <w:marRight w:val="0"/>
      <w:marTop w:val="0"/>
      <w:marBottom w:val="0"/>
      <w:divBdr>
        <w:top w:val="none" w:sz="0" w:space="0" w:color="auto"/>
        <w:left w:val="none" w:sz="0" w:space="0" w:color="auto"/>
        <w:bottom w:val="none" w:sz="0" w:space="0" w:color="auto"/>
        <w:right w:val="none" w:sz="0" w:space="0" w:color="auto"/>
      </w:divBdr>
    </w:div>
    <w:div w:id="1525047826">
      <w:bodyDiv w:val="1"/>
      <w:marLeft w:val="0"/>
      <w:marRight w:val="0"/>
      <w:marTop w:val="0"/>
      <w:marBottom w:val="0"/>
      <w:divBdr>
        <w:top w:val="none" w:sz="0" w:space="0" w:color="auto"/>
        <w:left w:val="none" w:sz="0" w:space="0" w:color="auto"/>
        <w:bottom w:val="none" w:sz="0" w:space="0" w:color="auto"/>
        <w:right w:val="none" w:sz="0" w:space="0" w:color="auto"/>
      </w:divBdr>
    </w:div>
    <w:div w:id="1717463200">
      <w:bodyDiv w:val="1"/>
      <w:marLeft w:val="0"/>
      <w:marRight w:val="0"/>
      <w:marTop w:val="0"/>
      <w:marBottom w:val="0"/>
      <w:divBdr>
        <w:top w:val="none" w:sz="0" w:space="0" w:color="auto"/>
        <w:left w:val="none" w:sz="0" w:space="0" w:color="auto"/>
        <w:bottom w:val="none" w:sz="0" w:space="0" w:color="auto"/>
        <w:right w:val="none" w:sz="0" w:space="0" w:color="auto"/>
      </w:divBdr>
    </w:div>
    <w:div w:id="1743286644">
      <w:bodyDiv w:val="1"/>
      <w:marLeft w:val="0"/>
      <w:marRight w:val="0"/>
      <w:marTop w:val="0"/>
      <w:marBottom w:val="0"/>
      <w:divBdr>
        <w:top w:val="none" w:sz="0" w:space="0" w:color="auto"/>
        <w:left w:val="none" w:sz="0" w:space="0" w:color="auto"/>
        <w:bottom w:val="none" w:sz="0" w:space="0" w:color="auto"/>
        <w:right w:val="none" w:sz="0" w:space="0" w:color="auto"/>
      </w:divBdr>
    </w:div>
    <w:div w:id="1793359069">
      <w:bodyDiv w:val="1"/>
      <w:marLeft w:val="0"/>
      <w:marRight w:val="0"/>
      <w:marTop w:val="0"/>
      <w:marBottom w:val="0"/>
      <w:divBdr>
        <w:top w:val="none" w:sz="0" w:space="0" w:color="auto"/>
        <w:left w:val="none" w:sz="0" w:space="0" w:color="auto"/>
        <w:bottom w:val="none" w:sz="0" w:space="0" w:color="auto"/>
        <w:right w:val="none" w:sz="0" w:space="0" w:color="auto"/>
      </w:divBdr>
    </w:div>
    <w:div w:id="21397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C044B-797D-4A16-81BE-D35914AA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986</Words>
  <Characters>5427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5</cp:revision>
  <cp:lastPrinted>2021-06-01T07:26:00Z</cp:lastPrinted>
  <dcterms:created xsi:type="dcterms:W3CDTF">2023-05-04T08:55:00Z</dcterms:created>
  <dcterms:modified xsi:type="dcterms:W3CDTF">2023-05-08T13:24:00Z</dcterms:modified>
</cp:coreProperties>
</file>