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9153F" w14:textId="77777777" w:rsidR="00CA3236" w:rsidRDefault="00CA3236" w:rsidP="00CA3236">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AytoRoquetas Light Condensed" w:hAnsi="AytoRoquetas Light Condensed"/>
          <w:b/>
        </w:rPr>
      </w:pPr>
    </w:p>
    <w:p w14:paraId="71F0FDEE" w14:textId="77777777" w:rsidR="00CA3236" w:rsidRDefault="00CA3236" w:rsidP="00CA3236">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AytoRoquetas Light Condensed" w:hAnsi="AytoRoquetas Light Condensed"/>
          <w:b/>
        </w:rPr>
      </w:pPr>
    </w:p>
    <w:p w14:paraId="454A90D1" w14:textId="77777777" w:rsidR="00CA3236" w:rsidRDefault="00CA3236" w:rsidP="00CA3236">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pPr>
      <w:r>
        <w:rPr>
          <w:rFonts w:ascii="AytoRoquetas Light Condensed" w:hAnsi="AytoRoquetas Light Condensed"/>
          <w:b/>
        </w:rPr>
        <w:t>INFORME DE FISCALIZACIÓN Y/O INTERVENCIÓN LIMITADA PREVIA DE REQUISITOS BÁSICOS DE CONFORMIDAD</w:t>
      </w:r>
    </w:p>
    <w:p w14:paraId="58A2776B" w14:textId="77777777" w:rsidR="00CA3236" w:rsidRDefault="00CA3236" w:rsidP="00CA3236">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ind w:left="720"/>
        <w:jc w:val="both"/>
        <w:rPr>
          <w:rFonts w:ascii="AytoRoquetas Light Condensed" w:hAnsi="AytoRoquetas Light Condensed"/>
        </w:rPr>
      </w:pPr>
    </w:p>
    <w:p w14:paraId="6BCC2760"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ANTECEDENTES</w:t>
      </w:r>
    </w:p>
    <w:p w14:paraId="120F701C"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754C9ABD" w14:textId="1858BED6" w:rsidR="00CA3236" w:rsidRDefault="00CA3236" w:rsidP="00CA3236">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EXPEDIENTE:</w:t>
      </w:r>
      <w:r>
        <w:rPr>
          <w:rFonts w:ascii="AytoRoquetas Light Condensed" w:hAnsi="AytoRoquetas Light Condensed"/>
        </w:rPr>
        <w:t xml:space="preserve"> 2023/05.01.00.01/</w:t>
      </w:r>
      <w:r>
        <w:rPr>
          <w:rFonts w:ascii="AytoRoquetas Light Condensed" w:hAnsi="AytoRoquetas Light Condensed"/>
        </w:rPr>
        <w:t>88</w:t>
      </w:r>
      <w:r>
        <w:rPr>
          <w:rFonts w:ascii="AytoRoquetas Light Condensed" w:hAnsi="AytoRoquetas Light Condensed"/>
        </w:rPr>
        <w:t xml:space="preserve"> – </w:t>
      </w:r>
      <w:r>
        <w:rPr>
          <w:rFonts w:ascii="AytoRoquetas Light Condensed" w:hAnsi="AytoRoquetas Light Condensed"/>
        </w:rPr>
        <w:t>GASTOS REEMBOLSABLES FRANCISCO GUTIÉRREZ</w:t>
      </w:r>
    </w:p>
    <w:p w14:paraId="16D94A2F" w14:textId="77777777" w:rsidR="00CA3236" w:rsidRDefault="00CA3236" w:rsidP="00CA3236">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AREA-EXPEDIENTE-ACTUACION:</w:t>
      </w:r>
      <w:r>
        <w:rPr>
          <w:rFonts w:ascii="AytoRoquetas Light Condensed" w:hAnsi="AytoRoquetas Light Condensed"/>
        </w:rPr>
        <w:t xml:space="preserve"> ÁREA EXPEDIENTE GENÉRICO / EXPEDIENTE GENERICO / Reconocimiento de la obligación (fase ADO/O)</w:t>
      </w:r>
    </w:p>
    <w:p w14:paraId="28FFBAED" w14:textId="0BEC2F5A" w:rsidR="00CA3236" w:rsidRDefault="00CA3236" w:rsidP="00CA3236">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ÓRGANO:</w:t>
      </w:r>
      <w:r>
        <w:rPr>
          <w:rFonts w:ascii="AytoRoquetas Light Condensed" w:hAnsi="AytoRoquetas Light Condensed"/>
        </w:rPr>
        <w:t xml:space="preserve"> Presidencia</w:t>
      </w:r>
      <w:r>
        <w:rPr>
          <w:rFonts w:ascii="AytoRoquetas Light Condensed" w:hAnsi="AytoRoquetas Light Condensed"/>
        </w:rPr>
        <w:t xml:space="preserve"> en funciones</w:t>
      </w:r>
    </w:p>
    <w:p w14:paraId="75B2E55E"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6B164E18"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FUNDAMENTOS JURÍDICOS</w:t>
      </w:r>
    </w:p>
    <w:p w14:paraId="51BECDCD"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1FEA1EA5" w14:textId="77777777" w:rsidR="00CA3236" w:rsidRDefault="00CA3236" w:rsidP="00CA3236">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Real Decreto Legislativo 2/2004, de 5 de marzo por el que se aprueba el texto de refundido de la Ley Reguladora de las Haciendas Locales (TRLRHL).</w:t>
      </w:r>
    </w:p>
    <w:p w14:paraId="73A66C5E" w14:textId="77777777" w:rsidR="00CA3236" w:rsidRDefault="00CA3236" w:rsidP="00CA3236">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Real Decreto 424/2017, de 28 de abril, por el que se regula el Régimen Jurídico del Control Interno en las Entidades del Sector Público Local.</w:t>
      </w:r>
    </w:p>
    <w:p w14:paraId="5298367A" w14:textId="77777777" w:rsidR="00CA3236" w:rsidRDefault="00CA3236" w:rsidP="00CA3236">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Acuerdo del Pleno de fecha 5 de julio de 2018 por el que se aprueba el régimen de fiscalización e intervención limitada previa y los requisitos a comprobar en función de la naturaleza del expediente.</w:t>
      </w:r>
    </w:p>
    <w:p w14:paraId="346EC88D"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1910A816"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 xml:space="preserve">INFORMO </w:t>
      </w:r>
    </w:p>
    <w:p w14:paraId="2F0D05D2"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21A51B1D"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w:t>
      </w:r>
      <w:r>
        <w:rPr>
          <w:rFonts w:ascii="AytoRoquetas Light Condensed" w:hAnsi="AytoRoquetas Light Condensed"/>
          <w:b/>
        </w:rPr>
        <w:t xml:space="preserve"> </w:t>
      </w:r>
      <w:r>
        <w:rPr>
          <w:rFonts w:ascii="AytoRoquetas Light Condensed" w:hAnsi="AytoRoquetas Light Condensed"/>
        </w:rPr>
        <w:t>con el siguiente resultado:</w:t>
      </w:r>
    </w:p>
    <w:p w14:paraId="560DE87F"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6E9D3C7B" w14:textId="77777777" w:rsidR="00CA3236" w:rsidRDefault="00CA3236" w:rsidP="00CA3236">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pPr>
      <w:r>
        <w:rPr>
          <w:rFonts w:ascii="AytoRoquetas Light Condensed" w:hAnsi="AytoRoquetas Light Condensed"/>
          <w:b/>
        </w:rPr>
        <w:t>Requisitos fiscalizados de conformidad:</w:t>
      </w:r>
    </w:p>
    <w:p w14:paraId="21262D8D" w14:textId="77777777" w:rsidR="00CA3236" w:rsidRDefault="00CA3236" w:rsidP="00CA3236">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Que existe crédito presupuestario y que el propuesto es el adecuado a la naturaleza del gasto que se propone.</w:t>
      </w:r>
    </w:p>
    <w:p w14:paraId="50AE3F3B" w14:textId="77777777" w:rsidR="00CA3236" w:rsidRDefault="00CA3236" w:rsidP="00CA3236">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el gasto se genera por órgano competente.</w:t>
      </w:r>
    </w:p>
    <w:p w14:paraId="47BC9F70" w14:textId="77777777" w:rsidR="00CA3236" w:rsidRDefault="00CA3236" w:rsidP="00CA3236">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las obligaciones responden a gastos aprobados y, en su caso, fiscalizados favorablemente, salvo que la aprobación del gasto y el reconocimiento de la obligación deban realizarse simultáneamente.</w:t>
      </w:r>
    </w:p>
    <w:p w14:paraId="2A3D5FD5" w14:textId="77777777" w:rsidR="00CA3236" w:rsidRDefault="00CA3236" w:rsidP="00CA3236">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los documentos justificativos del reconocimiento de la obligación se ajustan a la norma de aplicación e identifican el acreedor, el importe y la prestación u otra causa del reconocimiento.</w:t>
      </w:r>
    </w:p>
    <w:p w14:paraId="0F92478C" w14:textId="77777777" w:rsidR="00CA3236" w:rsidRDefault="00CA3236" w:rsidP="00CA3236">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p>
    <w:p w14:paraId="79CF7F2D" w14:textId="77777777" w:rsidR="00CA3236" w:rsidRDefault="00CA3236" w:rsidP="00CA3236">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284EDFD4" w14:textId="77777777" w:rsidR="00CA3236" w:rsidRDefault="00CA3236" w:rsidP="00CA3236">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pPr>
      <w:r>
        <w:rPr>
          <w:rFonts w:ascii="AytoRoquetas Light Condensed" w:hAnsi="AytoRoquetas Light Condensed"/>
          <w:b/>
        </w:rPr>
        <w:t>Requisitos que, de acuerdo con la naturaleza del expediente y/o en esta fase del procedimiento no procede su revisión:</w:t>
      </w:r>
    </w:p>
    <w:p w14:paraId="74ED92DE" w14:textId="77777777" w:rsidR="00CA3236" w:rsidRDefault="00CA3236" w:rsidP="00CA3236">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Al tratarse de gastos con financiación afectada, que los recursos que los financian son ejecutivos y que se acredita su efectividad con la existencia de documentos fehacientes.</w:t>
      </w:r>
    </w:p>
    <w:p w14:paraId="59283A18" w14:textId="77777777" w:rsidR="00CA3236" w:rsidRDefault="00CA3236" w:rsidP="00CA3236">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xml:space="preserve"> </w:t>
      </w:r>
    </w:p>
    <w:p w14:paraId="774996D6"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5D2C9410"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123921A0"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34CBBB9C"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06E92A44"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3A0716F8"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CONCLUSIÓN</w:t>
      </w:r>
    </w:p>
    <w:p w14:paraId="3D08FEA3"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1D1D8530"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xml:space="preserve">Se </w:t>
      </w:r>
      <w:r>
        <w:rPr>
          <w:rFonts w:ascii="AytoRoquetas Light Condensed" w:hAnsi="AytoRoquetas Light Condensed"/>
          <w:b/>
        </w:rPr>
        <w:t>fiscaliza de conformidad</w:t>
      </w:r>
      <w:r>
        <w:rPr>
          <w:rFonts w:ascii="AytoRoquetas Light Condensed" w:hAnsi="AytoRoquetas Light Condensed"/>
        </w:rPr>
        <w:t xml:space="preserve"> el expediente de referencia en esta fase del procedimiento en los términos y condiciones descritos anteriormente.</w:t>
      </w:r>
    </w:p>
    <w:p w14:paraId="108B5157"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4BBC3459"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Siendo el resultado de la fiscalización:</w:t>
      </w:r>
    </w:p>
    <w:p w14:paraId="0E310796" w14:textId="77777777" w:rsidR="00CA3236" w:rsidRDefault="00CA3236" w:rsidP="00CA32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pPr>
      <w:r>
        <w:rPr>
          <w:rFonts w:ascii="AytoRoquetas Light Condensed" w:hAnsi="AytoRoquetas Light Condensed"/>
          <w:b/>
        </w:rPr>
        <w:t>Fiscalizado de conformidad</w:t>
      </w:r>
    </w:p>
    <w:p w14:paraId="09FCC363" w14:textId="77777777" w:rsidR="00CA3236" w:rsidRDefault="00CA3236" w:rsidP="00CA3236"/>
    <w:p w14:paraId="47B422DD" w14:textId="77777777" w:rsidR="0045195C" w:rsidRDefault="0045195C"/>
    <w:sectPr w:rsidR="0045195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D3D8C" w14:textId="77777777" w:rsidR="00F90EE1" w:rsidRDefault="00F90EE1" w:rsidP="00CA3236">
      <w:pPr>
        <w:spacing w:after="0" w:line="240" w:lineRule="auto"/>
      </w:pPr>
      <w:r>
        <w:separator/>
      </w:r>
    </w:p>
  </w:endnote>
  <w:endnote w:type="continuationSeparator" w:id="0">
    <w:p w14:paraId="624007F3" w14:textId="77777777" w:rsidR="00F90EE1" w:rsidRDefault="00F90EE1" w:rsidP="00CA3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A42AD" w14:textId="77777777" w:rsidR="00F90EE1" w:rsidRDefault="00F90EE1" w:rsidP="00CA3236">
      <w:pPr>
        <w:spacing w:after="0" w:line="240" w:lineRule="auto"/>
      </w:pPr>
      <w:r>
        <w:separator/>
      </w:r>
    </w:p>
  </w:footnote>
  <w:footnote w:type="continuationSeparator" w:id="0">
    <w:p w14:paraId="08A78B21" w14:textId="77777777" w:rsidR="00F90EE1" w:rsidRDefault="00F90EE1" w:rsidP="00CA32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14457" w14:textId="6E9B7566" w:rsidR="00CA3236" w:rsidRDefault="00CA3236">
    <w:pPr>
      <w:pStyle w:val="Encabezado"/>
    </w:pPr>
    <w:r>
      <w:rPr>
        <w:noProof/>
      </w:rPr>
      <w:drawing>
        <wp:inline distT="0" distB="0" distL="0" distR="0" wp14:anchorId="5CF3AF0E" wp14:editId="0B8FA699">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pPr>
        <w:ind w:left="720" w:hanging="360"/>
      </w:pPr>
      <w:rPr>
        <w:rFonts w:ascii="Arial" w:hAnsi="Arial"/>
        <w:b/>
        <w:i w:val="0"/>
        <w:strike w:val="0"/>
        <w:dstrike w:val="0"/>
        <w:sz w:val="24"/>
        <w:u w:val="none"/>
        <w:effect w:val="none"/>
      </w:rPr>
    </w:lvl>
    <w:lvl w:ilvl="1">
      <w:start w:val="1"/>
      <w:numFmt w:val="bullet"/>
      <w:lvlText w:val=""/>
      <w:lvlJc w:val="left"/>
      <w:pPr>
        <w:ind w:left="1080" w:hanging="360"/>
      </w:pPr>
      <w:rPr>
        <w:rFonts w:ascii="Arial"/>
        <w:b/>
        <w:i w:val="0"/>
        <w:strike w:val="0"/>
        <w:dstrike w:val="0"/>
        <w:sz w:val="24"/>
        <w:u w:val="none"/>
        <w:effect w:val="none"/>
      </w:rPr>
    </w:lvl>
    <w:lvl w:ilvl="2">
      <w:start w:val="1"/>
      <w:numFmt w:val="bullet"/>
      <w:lvlText w:val=""/>
      <w:lvlJc w:val="left"/>
      <w:pPr>
        <w:ind w:left="1440" w:hanging="360"/>
      </w:pPr>
      <w:rPr>
        <w:rFonts w:ascii="Arial"/>
        <w:b/>
        <w:i w:val="0"/>
        <w:strike w:val="0"/>
        <w:dstrike w:val="0"/>
        <w:sz w:val="24"/>
        <w:u w:val="none"/>
        <w:effect w:val="none"/>
      </w:rPr>
    </w:lvl>
    <w:lvl w:ilvl="3">
      <w:start w:val="1"/>
      <w:numFmt w:val="bullet"/>
      <w:lvlText w:val=""/>
      <w:lvlJc w:val="left"/>
      <w:pPr>
        <w:ind w:left="1800" w:hanging="360"/>
      </w:pPr>
      <w:rPr>
        <w:rFonts w:ascii="Arial"/>
        <w:b/>
        <w:i w:val="0"/>
        <w:strike w:val="0"/>
        <w:dstrike w:val="0"/>
        <w:sz w:val="24"/>
        <w:u w:val="none"/>
        <w:effect w:val="none"/>
      </w:rPr>
    </w:lvl>
    <w:lvl w:ilvl="4">
      <w:start w:val="1"/>
      <w:numFmt w:val="bullet"/>
      <w:lvlText w:val=""/>
      <w:lvlJc w:val="left"/>
      <w:pPr>
        <w:ind w:left="2160" w:hanging="360"/>
      </w:pPr>
      <w:rPr>
        <w:rFonts w:ascii="Arial"/>
        <w:b/>
        <w:i w:val="0"/>
        <w:strike w:val="0"/>
        <w:dstrike w:val="0"/>
        <w:sz w:val="24"/>
        <w:u w:val="none"/>
        <w:effect w:val="none"/>
      </w:rPr>
    </w:lvl>
    <w:lvl w:ilvl="5">
      <w:start w:val="1"/>
      <w:numFmt w:val="bullet"/>
      <w:lvlText w:val=""/>
      <w:lvlJc w:val="left"/>
      <w:pPr>
        <w:ind w:left="2520" w:hanging="360"/>
      </w:pPr>
      <w:rPr>
        <w:rFonts w:ascii="Arial"/>
        <w:b/>
        <w:i w:val="0"/>
        <w:strike w:val="0"/>
        <w:dstrike w:val="0"/>
        <w:sz w:val="24"/>
        <w:u w:val="none"/>
        <w:effect w:val="none"/>
      </w:rPr>
    </w:lvl>
    <w:lvl w:ilvl="6">
      <w:start w:val="1"/>
      <w:numFmt w:val="bullet"/>
      <w:lvlText w:val=""/>
      <w:lvlJc w:val="left"/>
      <w:pPr>
        <w:ind w:left="2880" w:hanging="360"/>
      </w:pPr>
      <w:rPr>
        <w:rFonts w:ascii="Arial"/>
        <w:b/>
        <w:i w:val="0"/>
        <w:strike w:val="0"/>
        <w:dstrike w:val="0"/>
        <w:sz w:val="24"/>
        <w:u w:val="none"/>
        <w:effect w:val="none"/>
      </w:rPr>
    </w:lvl>
    <w:lvl w:ilvl="7">
      <w:start w:val="1"/>
      <w:numFmt w:val="bullet"/>
      <w:lvlText w:val=""/>
      <w:lvlJc w:val="left"/>
      <w:pPr>
        <w:ind w:left="3240" w:hanging="360"/>
      </w:pPr>
      <w:rPr>
        <w:rFonts w:ascii="Arial"/>
        <w:b/>
        <w:i w:val="0"/>
        <w:strike w:val="0"/>
        <w:dstrike w:val="0"/>
        <w:sz w:val="24"/>
        <w:u w:val="none"/>
        <w:effect w:val="none"/>
      </w:rPr>
    </w:lvl>
    <w:lvl w:ilvl="8">
      <w:start w:val="1"/>
      <w:numFmt w:val="bullet"/>
      <w:lvlText w:val=""/>
      <w:lvlJc w:val="left"/>
      <w:pPr>
        <w:ind w:left="3600" w:hanging="360"/>
      </w:pPr>
      <w:rPr>
        <w:rFonts w:ascii="Arial"/>
        <w:b/>
        <w:i w:val="0"/>
        <w:strike w:val="0"/>
        <w:dstrike w:val="0"/>
        <w:sz w:val="24"/>
        <w:u w:val="none"/>
        <w:effect w:val="none"/>
      </w:rPr>
    </w:lvl>
  </w:abstractNum>
  <w:abstractNum w:abstractNumId="1" w15:restartNumberingAfterBreak="0">
    <w:nsid w:val="00000002"/>
    <w:multiLevelType w:val="multilevel"/>
    <w:tmpl w:val="FFFFFFFF"/>
    <w:lvl w:ilvl="0">
      <w:start w:val="1"/>
      <w:numFmt w:val="decimal"/>
      <w:lvlText w:val="%1)"/>
      <w:lvlJc w:val="left"/>
      <w:pPr>
        <w:ind w:left="360" w:hanging="360"/>
      </w:pPr>
      <w:rPr>
        <w:rFonts w:ascii="AytoRoquetas Light Condensed" w:hAnsi="AytoRoquetas Light Condensed" w:cs="Times New Roman"/>
        <w:b/>
        <w:i w:val="0"/>
        <w:strike w:val="0"/>
        <w:dstrike w:val="0"/>
        <w:sz w:val="22"/>
        <w:u w:val="none"/>
        <w:effect w:val="none"/>
      </w:rPr>
    </w:lvl>
    <w:lvl w:ilvl="1">
      <w:start w:val="1"/>
      <w:numFmt w:val="decimal"/>
      <w:lvlText w:val="%2)"/>
      <w:lvlJc w:val="left"/>
      <w:pPr>
        <w:ind w:left="720" w:hanging="360"/>
      </w:pPr>
      <w:rPr>
        <w:rFonts w:ascii="AytoRoquetas Light Condensed" w:hAnsi="AytoRoquetas Light Condensed" w:cs="Times New Roman"/>
        <w:b/>
        <w:i w:val="0"/>
        <w:strike w:val="0"/>
        <w:dstrike w:val="0"/>
        <w:sz w:val="22"/>
        <w:u w:val="none"/>
        <w:effect w:val="none"/>
      </w:rPr>
    </w:lvl>
    <w:lvl w:ilvl="2">
      <w:start w:val="1"/>
      <w:numFmt w:val="decimal"/>
      <w:lvlText w:val="%3)"/>
      <w:lvlJc w:val="left"/>
      <w:pPr>
        <w:ind w:left="1080" w:hanging="360"/>
      </w:pPr>
      <w:rPr>
        <w:rFonts w:ascii="AytoRoquetas Light Condensed" w:hAnsi="AytoRoquetas Light Condensed" w:cs="Times New Roman"/>
        <w:b/>
        <w:i w:val="0"/>
        <w:strike w:val="0"/>
        <w:dstrike w:val="0"/>
        <w:sz w:val="22"/>
        <w:u w:val="none"/>
        <w:effect w:val="none"/>
      </w:rPr>
    </w:lvl>
    <w:lvl w:ilvl="3">
      <w:start w:val="1"/>
      <w:numFmt w:val="decimal"/>
      <w:lvlText w:val="%4)"/>
      <w:lvlJc w:val="left"/>
      <w:pPr>
        <w:ind w:left="1440" w:hanging="360"/>
      </w:pPr>
      <w:rPr>
        <w:rFonts w:ascii="AytoRoquetas Light Condensed" w:hAnsi="AytoRoquetas Light Condensed" w:cs="Times New Roman"/>
        <w:b/>
        <w:i w:val="0"/>
        <w:strike w:val="0"/>
        <w:dstrike w:val="0"/>
        <w:sz w:val="22"/>
        <w:u w:val="none"/>
        <w:effect w:val="none"/>
      </w:rPr>
    </w:lvl>
    <w:lvl w:ilvl="4">
      <w:start w:val="1"/>
      <w:numFmt w:val="decimal"/>
      <w:lvlText w:val="%5)"/>
      <w:lvlJc w:val="left"/>
      <w:pPr>
        <w:ind w:left="1800" w:hanging="360"/>
      </w:pPr>
      <w:rPr>
        <w:rFonts w:ascii="AytoRoquetas Light Condensed" w:hAnsi="AytoRoquetas Light Condensed" w:cs="Times New Roman"/>
        <w:b/>
        <w:i w:val="0"/>
        <w:strike w:val="0"/>
        <w:dstrike w:val="0"/>
        <w:sz w:val="22"/>
        <w:u w:val="none"/>
        <w:effect w:val="none"/>
      </w:rPr>
    </w:lvl>
    <w:lvl w:ilvl="5">
      <w:start w:val="1"/>
      <w:numFmt w:val="decimal"/>
      <w:lvlText w:val="%6)"/>
      <w:lvlJc w:val="left"/>
      <w:pPr>
        <w:ind w:left="2160" w:hanging="360"/>
      </w:pPr>
      <w:rPr>
        <w:rFonts w:ascii="AytoRoquetas Light Condensed" w:hAnsi="AytoRoquetas Light Condensed" w:cs="Times New Roman"/>
        <w:b/>
        <w:i w:val="0"/>
        <w:strike w:val="0"/>
        <w:dstrike w:val="0"/>
        <w:sz w:val="22"/>
        <w:u w:val="none"/>
        <w:effect w:val="none"/>
      </w:rPr>
    </w:lvl>
    <w:lvl w:ilvl="6">
      <w:start w:val="1"/>
      <w:numFmt w:val="decimal"/>
      <w:lvlText w:val="%7)"/>
      <w:lvlJc w:val="left"/>
      <w:pPr>
        <w:ind w:left="2520" w:hanging="360"/>
      </w:pPr>
      <w:rPr>
        <w:rFonts w:ascii="AytoRoquetas Light Condensed" w:hAnsi="AytoRoquetas Light Condensed" w:cs="Times New Roman"/>
        <w:b/>
        <w:i w:val="0"/>
        <w:strike w:val="0"/>
        <w:dstrike w:val="0"/>
        <w:sz w:val="22"/>
        <w:u w:val="none"/>
        <w:effect w:val="none"/>
      </w:rPr>
    </w:lvl>
    <w:lvl w:ilvl="7">
      <w:start w:val="1"/>
      <w:numFmt w:val="decimal"/>
      <w:lvlText w:val="%8)"/>
      <w:lvlJc w:val="left"/>
      <w:pPr>
        <w:ind w:left="2880" w:hanging="360"/>
      </w:pPr>
      <w:rPr>
        <w:rFonts w:ascii="AytoRoquetas Light Condensed" w:hAnsi="AytoRoquetas Light Condensed" w:cs="Times New Roman"/>
        <w:b/>
        <w:i w:val="0"/>
        <w:strike w:val="0"/>
        <w:dstrike w:val="0"/>
        <w:sz w:val="22"/>
        <w:u w:val="none"/>
        <w:effect w:val="none"/>
      </w:rPr>
    </w:lvl>
    <w:lvl w:ilvl="8">
      <w:start w:val="1"/>
      <w:numFmt w:val="decimal"/>
      <w:lvlText w:val="%9)"/>
      <w:lvlJc w:val="left"/>
      <w:pPr>
        <w:ind w:left="3240" w:hanging="360"/>
      </w:pPr>
      <w:rPr>
        <w:rFonts w:ascii="AytoRoquetas Light Condensed" w:hAnsi="AytoRoquetas Light Condensed" w:cs="Times New Roman"/>
        <w:b/>
        <w:i w:val="0"/>
        <w:strike w:val="0"/>
        <w:dstrike w:val="0"/>
        <w:sz w:val="22"/>
        <w:u w:val="none"/>
        <w:effect w:val="none"/>
      </w:rPr>
    </w:lvl>
  </w:abstractNum>
  <w:num w:numId="1" w16cid:durableId="1047223117">
    <w:abstractNumId w:val="0"/>
    <w:lvlOverride w:ilvl="0"/>
    <w:lvlOverride w:ilvl="1"/>
    <w:lvlOverride w:ilvl="2"/>
    <w:lvlOverride w:ilvl="3"/>
    <w:lvlOverride w:ilvl="4"/>
    <w:lvlOverride w:ilvl="5"/>
    <w:lvlOverride w:ilvl="6"/>
    <w:lvlOverride w:ilvl="7"/>
    <w:lvlOverride w:ilvl="8"/>
  </w:num>
  <w:num w:numId="2" w16cid:durableId="8677173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236"/>
    <w:rsid w:val="0045195C"/>
    <w:rsid w:val="00CA3236"/>
    <w:rsid w:val="00F90E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78232"/>
  <w15:chartTrackingRefBased/>
  <w15:docId w15:val="{FD470FF3-0BEF-4A3F-BFDE-6DC9DD31F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236"/>
    <w:pPr>
      <w:suppressAutoHyphens/>
      <w:autoSpaceDE w:val="0"/>
      <w:autoSpaceDN w:val="0"/>
      <w:adjustRightInd w:val="0"/>
      <w:spacing w:after="200" w:line="276" w:lineRule="auto"/>
    </w:pPr>
    <w:rPr>
      <w:rFonts w:ascii="Calibri" w:eastAsiaTheme="minorEastAsia" w:hAnsi="Calibri" w:cs="Tahoma"/>
      <w:szCs w:val="24"/>
      <w:lang w:eastAsia="zh-CN" w:bidi="hi-IN"/>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A3236"/>
    <w:pPr>
      <w:tabs>
        <w:tab w:val="center" w:pos="4252"/>
        <w:tab w:val="right" w:pos="8504"/>
      </w:tabs>
      <w:spacing w:after="0" w:line="240" w:lineRule="auto"/>
    </w:pPr>
    <w:rPr>
      <w:rFonts w:cs="Mangal"/>
    </w:rPr>
  </w:style>
  <w:style w:type="character" w:customStyle="1" w:styleId="EncabezadoCar">
    <w:name w:val="Encabezado Car"/>
    <w:basedOn w:val="Fuentedeprrafopredeter"/>
    <w:link w:val="Encabezado"/>
    <w:uiPriority w:val="99"/>
    <w:rsid w:val="00CA3236"/>
    <w:rPr>
      <w:rFonts w:ascii="Calibri" w:eastAsiaTheme="minorEastAsia" w:hAnsi="Calibri" w:cs="Mangal"/>
      <w:szCs w:val="24"/>
      <w:lang w:eastAsia="zh-CN" w:bidi="hi-IN"/>
      <w14:ligatures w14:val="none"/>
    </w:rPr>
  </w:style>
  <w:style w:type="paragraph" w:styleId="Piedepgina">
    <w:name w:val="footer"/>
    <w:basedOn w:val="Normal"/>
    <w:link w:val="PiedepginaCar"/>
    <w:uiPriority w:val="99"/>
    <w:unhideWhenUsed/>
    <w:rsid w:val="00CA3236"/>
    <w:pPr>
      <w:tabs>
        <w:tab w:val="center" w:pos="4252"/>
        <w:tab w:val="right" w:pos="8504"/>
      </w:tabs>
      <w:spacing w:after="0" w:line="240" w:lineRule="auto"/>
    </w:pPr>
    <w:rPr>
      <w:rFonts w:cs="Mangal"/>
    </w:rPr>
  </w:style>
  <w:style w:type="character" w:customStyle="1" w:styleId="PiedepginaCar">
    <w:name w:val="Pie de página Car"/>
    <w:basedOn w:val="Fuentedeprrafopredeter"/>
    <w:link w:val="Piedepgina"/>
    <w:uiPriority w:val="99"/>
    <w:rsid w:val="00CA3236"/>
    <w:rPr>
      <w:rFonts w:ascii="Calibri" w:eastAsiaTheme="minorEastAsia" w:hAnsi="Calibri" w:cs="Mangal"/>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2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371</Words>
  <Characters>2046</Characters>
  <Application>Microsoft Office Word</Application>
  <DocSecurity>0</DocSecurity>
  <Lines>17</Lines>
  <Paragraphs>4</Paragraphs>
  <ScaleCrop>false</ScaleCrop>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1</cp:revision>
  <dcterms:created xsi:type="dcterms:W3CDTF">2023-06-20T09:35:00Z</dcterms:created>
  <dcterms:modified xsi:type="dcterms:W3CDTF">2023-06-20T09:40:00Z</dcterms:modified>
</cp:coreProperties>
</file>