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A105" w14:textId="257CABDE" w:rsidR="00093506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Expte. 2023/</w:t>
      </w:r>
      <w:r w:rsidR="000C577E">
        <w:rPr>
          <w:rFonts w:ascii="AytoRoquetas Light Condensed" w:hAnsi="AytoRoquetas Light Condensed" w:cs="AytoRoquetas Light Condensed"/>
          <w:sz w:val="22"/>
          <w:szCs w:val="22"/>
        </w:rPr>
        <w:t>8</w:t>
      </w:r>
      <w:r>
        <w:rPr>
          <w:rFonts w:ascii="AytoRoquetas Light Condensed" w:hAnsi="AytoRoquetas Light Condensed" w:cs="AytoRoquetas Light Condensed"/>
          <w:sz w:val="22"/>
          <w:szCs w:val="22"/>
        </w:rPr>
        <w:t>8 Y 89</w:t>
      </w:r>
    </w:p>
    <w:p w14:paraId="333C0F77" w14:textId="77777777" w:rsidR="00093506" w:rsidRDefault="002309AD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2309AD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Comprobado así mismo, que lo</w:t>
      </w:r>
      <w:r>
        <w:rPr>
          <w:rFonts w:ascii="AytoRoquetas Light Condensed" w:hAnsi="AytoRoquetas Light Condensed" w:cs="AytoRoquetas Light Condensed"/>
          <w:sz w:val="22"/>
          <w:szCs w:val="22"/>
        </w:rPr>
        <w:t xml:space="preserve">s pagos que se pretenden ordenar respetan y se adecuan al artículo 14 de la LO 2/2012, de 27 de abril, de Estabilidad Presupuestaria y Sostenibilidad Financiera y al artículo 187 del Real Decreto Legislativo 2/2004, de 5 de marzo, por el que se aprueba el </w:t>
      </w:r>
      <w:r>
        <w:rPr>
          <w:rFonts w:ascii="AytoRoquetas Light Condensed" w:hAnsi="AytoRoquetas Light Condensed" w:cs="AytoRoquetas Light Condensed"/>
          <w:sz w:val="22"/>
          <w:szCs w:val="22"/>
        </w:rPr>
        <w:t>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2309AD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 Acuerdo de Junta General de fecha 21 de abril de 2021 sobre nombramiento del Presidente del Consorcio de conformidad con lo establecido en el Art. 12.3 de </w:t>
      </w:r>
      <w:r>
        <w:rPr>
          <w:rFonts w:ascii="AytoRoquetas Light Condensed" w:hAnsi="AytoRoquetas Light Condensed" w:cs="AytoRoquetas Light Condensed"/>
          <w:sz w:val="22"/>
          <w:szCs w:val="22"/>
        </w:rPr>
        <w:t>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Lo dispuesto en el artículo 21.1 letra f) de la Ley 7/1985 RBRL de 2 abril, en su redacción dada por Ley 27/2013, de 27 de diciembre, de racionalización y sostenibilidad de la Administración Local. Y el artículo 186 del Real Decre</w:t>
      </w:r>
      <w:r>
        <w:rPr>
          <w:rFonts w:ascii="AytoRoquetas Light Condensed" w:hAnsi="AytoRoquetas Light Condensed" w:cs="AytoRoquetas Light Condensed"/>
          <w:sz w:val="22"/>
          <w:szCs w:val="22"/>
        </w:rPr>
        <w:t>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>Por todo ello, atendiendo al informe-propuesta realizado po</w:t>
      </w: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5CA76D6F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P/2023/9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0DFA41C0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234,74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591CBA22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234,74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2309AD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 xml:space="preserve">La presente resolución ha sido firmada electrónicamente, de acuerdo con lo </w:t>
      </w: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establecido en la Ley 40/2015, de 1 de octubre, de Régimen Jurídico del Sector Público, por la autoridad competente y transcrita en el Libro de Resoluciones por la secretaria del consorcio con el número y fecha al margen reseñado, como garantía de autentic</w:t>
      </w: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93506"/>
    <w:rsid w:val="000C577E"/>
    <w:rsid w:val="002309AD"/>
    <w:rsid w:val="00BE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351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9</cp:revision>
  <cp:lastPrinted>2022-05-05T06:26:00Z</cp:lastPrinted>
  <dcterms:created xsi:type="dcterms:W3CDTF">2023-03-10T07:31:00Z</dcterms:created>
  <dcterms:modified xsi:type="dcterms:W3CDTF">2023-07-05T10:21:00Z</dcterms:modified>
  <dc:language>es-ES</dc:language>
</cp:coreProperties>
</file>