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spacing w:lineRule="auto" w:line="288" w:before="0" w:after="0"/>
        <w:contextualSpacing/>
        <w:jc w:val="both"/>
        <w:rPr>
          <w:sz w:val="26"/>
          <w:szCs w:val="26"/>
        </w:rPr>
      </w:pPr>
      <w:r>
        <w:rPr>
          <w:b/>
          <w:bCs/>
          <w:sz w:val="26"/>
          <w:szCs w:val="26"/>
        </w:rPr>
        <w:t xml:space="preserve">DON GUILLERMO M. LAGO NÚÑEZ, SECRETARIO DEL CONSORCIO PARA LA GESTIÓN DEL CICLO INTEGRAL DEL AGUA DE USO URBANO DEL PONIENTE ALMERIENSE, </w:t>
      </w:r>
    </w:p>
    <w:p>
      <w:pPr>
        <w:pStyle w:val="Default"/>
        <w:spacing w:lineRule="auto" w:line="288" w:before="0" w:after="0"/>
        <w:contextualSpacing/>
        <w:jc w:val="both"/>
        <w:rPr>
          <w:sz w:val="22"/>
          <w:szCs w:val="22"/>
        </w:rPr>
      </w:pPr>
      <w:r>
        <w:rPr>
          <w:sz w:val="22"/>
          <w:szCs w:val="22"/>
        </w:rPr>
      </w:r>
    </w:p>
    <w:p>
      <w:pPr>
        <w:pStyle w:val="Default"/>
        <w:spacing w:lineRule="auto" w:line="288" w:before="0" w:after="0"/>
        <w:contextualSpacing/>
        <w:jc w:val="both"/>
        <w:rPr>
          <w:sz w:val="22"/>
          <w:szCs w:val="22"/>
        </w:rPr>
      </w:pPr>
      <w:r>
        <w:rPr>
          <w:sz w:val="22"/>
          <w:szCs w:val="22"/>
        </w:rPr>
        <w:t xml:space="preserve">CERTIFICO: Que la Junta General del Consorcio para </w:t>
      </w:r>
      <w:r>
        <w:rPr>
          <w:color w:val="auto"/>
          <w:sz w:val="22"/>
          <w:szCs w:val="22"/>
        </w:rPr>
        <w:t>la Gestión del Ciclo Integral del Agua de Uso Urbano del Poniente Almeriense en sesión extraordinaria celebrada el 5 de diciembre d</w:t>
      </w:r>
      <w:r>
        <w:rPr>
          <w:sz w:val="22"/>
          <w:szCs w:val="22"/>
        </w:rPr>
        <w:t xml:space="preserve">e 2023, adoptó entre otros el Acuerdo del siguiente tenor literal: </w:t>
      </w:r>
    </w:p>
    <w:p>
      <w:pPr>
        <w:pStyle w:val="BodyText"/>
        <w:spacing w:lineRule="auto" w:line="288" w:before="0" w:after="0"/>
        <w:contextualSpacing/>
        <w:rPr>
          <w:rFonts w:ascii="AytoRoquetas Light Condensed" w:hAnsi="AytoRoquetas Light Condensed" w:eastAsia="Georgia" w:cs="Georgia"/>
          <w:b w:val="false"/>
          <w:color w:val="000000"/>
          <w:sz w:val="22"/>
          <w:szCs w:val="22"/>
          <w:lang w:eastAsia="en-US"/>
        </w:rPr>
      </w:pPr>
      <w:r>
        <w:rPr>
          <w:rFonts w:eastAsia="Georgia" w:cs="Georgia" w:ascii="AytoRoquetas Light Condensed" w:hAnsi="AytoRoquetas Light Condensed"/>
          <w:b w:val="false"/>
          <w:color w:val="000000"/>
          <w:sz w:val="22"/>
          <w:szCs w:val="22"/>
          <w:lang w:eastAsia="en-US"/>
        </w:rPr>
      </w:r>
    </w:p>
    <w:p>
      <w:pPr>
        <w:pStyle w:val="BodyText"/>
        <w:spacing w:lineRule="auto" w:line="288" w:before="0" w:after="0"/>
        <w:contextualSpacing/>
        <w:rPr>
          <w:rFonts w:ascii="AytoRoquetas Light Condensed" w:hAnsi="AytoRoquetas Light Condensed"/>
          <w:sz w:val="26"/>
          <w:szCs w:val="26"/>
          <w:lang w:val="es-ES"/>
        </w:rPr>
      </w:pPr>
      <w:r>
        <w:rPr>
          <w:rFonts w:ascii="AytoRoquetas Light Condensed" w:hAnsi="AytoRoquetas Light Condensed"/>
          <w:sz w:val="26"/>
          <w:szCs w:val="26"/>
          <w:lang w:val="es-ES"/>
        </w:rPr>
        <w:t>5º.- PROPOSICIÓN</w:t>
      </w:r>
      <w:r>
        <w:rPr>
          <w:rFonts w:ascii="AytoRoquetas Light Condensed" w:hAnsi="AytoRoquetas Light Condensed"/>
          <w:spacing w:val="-1"/>
          <w:sz w:val="26"/>
          <w:szCs w:val="26"/>
          <w:lang w:val="es-ES"/>
        </w:rPr>
        <w:t xml:space="preserve"> </w:t>
      </w:r>
      <w:r>
        <w:rPr>
          <w:rFonts w:ascii="AytoRoquetas Light Condensed" w:hAnsi="AytoRoquetas Light Condensed"/>
          <w:sz w:val="26"/>
          <w:szCs w:val="26"/>
          <w:lang w:val="es-ES"/>
        </w:rPr>
        <w:t>relativa a revisión de precios</w:t>
      </w:r>
      <w:r>
        <w:rPr>
          <w:rFonts w:ascii="AytoRoquetas Light Condensed" w:hAnsi="AytoRoquetas Light Condensed"/>
          <w:spacing w:val="-2"/>
          <w:sz w:val="26"/>
          <w:szCs w:val="26"/>
          <w:lang w:val="es-ES"/>
        </w:rPr>
        <w:t xml:space="preserve"> </w:t>
      </w:r>
      <w:r>
        <w:rPr>
          <w:rFonts w:ascii="AytoRoquetas Light Condensed" w:hAnsi="AytoRoquetas Light Condensed"/>
          <w:sz w:val="26"/>
          <w:szCs w:val="26"/>
          <w:lang w:val="es-ES"/>
        </w:rPr>
        <w:t>conforme a</w:t>
      </w:r>
      <w:r>
        <w:rPr>
          <w:rFonts w:ascii="AytoRoquetas Light Condensed" w:hAnsi="AytoRoquetas Light Condensed"/>
          <w:spacing w:val="-1"/>
          <w:sz w:val="26"/>
          <w:szCs w:val="26"/>
          <w:lang w:val="es-ES"/>
        </w:rPr>
        <w:t xml:space="preserve"> </w:t>
      </w:r>
      <w:r>
        <w:rPr>
          <w:rFonts w:ascii="AytoRoquetas Light Condensed" w:hAnsi="AytoRoquetas Light Condensed"/>
          <w:sz w:val="26"/>
          <w:szCs w:val="26"/>
          <w:lang w:val="es-ES"/>
        </w:rPr>
        <w:t>la</w:t>
      </w:r>
      <w:r>
        <w:rPr>
          <w:rFonts w:ascii="AytoRoquetas Light Condensed" w:hAnsi="AytoRoquetas Light Condensed"/>
          <w:spacing w:val="-1"/>
          <w:sz w:val="26"/>
          <w:szCs w:val="26"/>
          <w:lang w:val="es-ES"/>
        </w:rPr>
        <w:t xml:space="preserve"> </w:t>
      </w:r>
      <w:r>
        <w:rPr>
          <w:rFonts w:ascii="AytoRoquetas Light Condensed" w:hAnsi="AytoRoquetas Light Condensed"/>
          <w:sz w:val="26"/>
          <w:szCs w:val="26"/>
          <w:lang w:val="es-ES"/>
        </w:rPr>
        <w:t xml:space="preserve">actualización del IPC de las empresas </w:t>
      </w:r>
      <w:r>
        <w:rPr>
          <w:rFonts w:ascii="AytoRoquetas Light Condensed" w:hAnsi="AytoRoquetas Light Condensed"/>
          <w:spacing w:val="-2"/>
          <w:sz w:val="26"/>
          <w:szCs w:val="26"/>
          <w:lang w:val="es-ES"/>
        </w:rPr>
        <w:t>operadoras.</w:t>
      </w:r>
    </w:p>
    <w:p>
      <w:pPr>
        <w:pStyle w:val="BodyText"/>
        <w:spacing w:before="0" w:after="0"/>
        <w:contextualSpacing/>
        <w:rPr>
          <w:rFonts w:ascii="AytoRoquetas Light Condensed" w:hAnsi="AytoRoquetas Light Condensed"/>
          <w:b w:val="false"/>
          <w:bCs/>
          <w:sz w:val="22"/>
          <w:lang w:val="es-ES"/>
        </w:rPr>
      </w:pPr>
      <w:r>
        <w:rPr>
          <w:rFonts w:ascii="AytoRoquetas Light Condensed" w:hAnsi="AytoRoquetas Light Condensed"/>
          <w:b w:val="false"/>
          <w:bCs/>
          <w:sz w:val="22"/>
          <w:lang w:val="es-ES"/>
        </w:rPr>
      </w:r>
    </w:p>
    <w:p>
      <w:pPr>
        <w:pStyle w:val="Normal"/>
        <w:spacing w:lineRule="auto" w:line="240" w:before="0" w:after="200"/>
        <w:contextualSpacing/>
        <w:jc w:val="both"/>
        <w:rPr>
          <w:rFonts w:ascii="AytoRoquetas Light Condensed" w:hAnsi="AytoRoquetas Light Condensed" w:eastAsia="Georgia" w:cs="Georgia"/>
        </w:rPr>
      </w:pPr>
      <w:r>
        <w:rPr>
          <w:rFonts w:eastAsia="Georgia" w:cs="Georgia" w:ascii="AytoRoquetas Light Condensed" w:hAnsi="AytoRoquetas Light Condensed"/>
        </w:rPr>
        <w:tab/>
        <w:t>Se da cuenta de la PROPOSICIÓN del Presidente, de 1 de diciembre de 2023.</w:t>
      </w:r>
    </w:p>
    <w:p>
      <w:pPr>
        <w:pStyle w:val="Normal"/>
        <w:spacing w:lineRule="auto" w:line="240" w:before="0" w:after="200"/>
        <w:contextualSpacing/>
        <w:jc w:val="both"/>
        <w:rPr>
          <w:rFonts w:ascii="AytoRoquetas Light Condensed" w:hAnsi="AytoRoquetas Light Condensed" w:eastAsia="Georgia" w:cs="Georgia"/>
        </w:rPr>
      </w:pPr>
      <w:r>
        <w:rPr>
          <w:rFonts w:eastAsia="Georgia" w:cs="Georgia" w:ascii="AytoRoquetas Light Condensed" w:hAnsi="AytoRoquetas Light Condensed"/>
        </w:rPr>
      </w:r>
    </w:p>
    <w:p>
      <w:pPr>
        <w:pStyle w:val="Normal"/>
        <w:spacing w:lineRule="auto" w:line="288" w:before="0" w:after="200"/>
        <w:ind w:hanging="709" w:left="709"/>
        <w:contextualSpacing/>
        <w:rPr>
          <w:rFonts w:ascii="AytoRoquetas Light Condensed" w:hAnsi="AytoRoquetas Light Condensed"/>
          <w:sz w:val="20"/>
          <w:szCs w:val="20"/>
        </w:rPr>
      </w:pPr>
      <w:r>
        <w:rPr>
          <w:rFonts w:ascii="AytoRoquetas Light Condensed" w:hAnsi="AytoRoquetas Light Condensed"/>
        </w:rPr>
        <w:t>“</w:t>
      </w:r>
      <w:r>
        <w:rPr>
          <w:rFonts w:ascii="AytoRoquetas Light Condensed" w:hAnsi="AytoRoquetas Light Condensed"/>
          <w:sz w:val="20"/>
          <w:szCs w:val="20"/>
        </w:rPr>
        <w:t>I. ANTECEDENTES</w:t>
      </w:r>
    </w:p>
    <w:p>
      <w:pPr>
        <w:pStyle w:val="Normal"/>
        <w:spacing w:lineRule="auto" w:line="288" w:before="0" w:after="200"/>
        <w:contextualSpacing/>
        <w:jc w:val="center"/>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567"/>
        <w:contextualSpacing/>
        <w:jc w:val="both"/>
        <w:rPr>
          <w:rFonts w:ascii="AytoRoquetas Light Condensed" w:hAnsi="AytoRoquetas Light Condensed"/>
          <w:sz w:val="20"/>
          <w:szCs w:val="20"/>
        </w:rPr>
      </w:pPr>
      <w:r>
        <w:rPr>
          <w:rFonts w:ascii="AytoRoquetas Light Condensed" w:hAnsi="AytoRoquetas Light Condensed"/>
          <w:sz w:val="20"/>
          <w:szCs w:val="20"/>
        </w:rPr>
        <w:t>1. En fecha 21 de junio de 2002 se formalizó en documento administrativo entre el Consorcio para la Gestión de los Servicios Integrados de Abastecimiento de Agua y Saneamiento de los Municipios del Poniente Almeriense  y el legal representante de la UTE SOGESUR-INIMA (hoy UTE DEPURACION PONIENTE ALMERIENSE, SA) el contrato de Concesión de la Gestión y Explotación del Servicio de Depuración de Aguas Residuales del Sector del Consorcio que comprende El Ejido, Balerma, Balanegra, Adra y Dalías, todo ello en virtud de Acuerdo adoptado por la Junta General del Consorcio en su sesión celebrada en fecha 21 de mayo de 2002 a tenor del cual se dispuso:</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1º) […]</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2º) Adjudicar a Inima-Sogesur el servicio de depuración del Servicio de Depuración de Aguas Residuales del Sector que comprende:  El Ejido, Balerma, Balanegra, Adra, Dalías y Berja, de acuerdo con lo previsto en los pliegos que rigen en la presente contratación, en las condiciones de su oferta, y en base a los criterios del informe técnico citado.</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3º) Los precios a percibir de los usuarios serán: en el tratamiento mínimo obligatorio, los previstos en las ordenanzas fiscales y únicos para todo el Consorcio.</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4º) En el tratamiento terciario, los precios a percibir de los usuarios serán: precio unitario por m</w:t>
      </w:r>
      <w:r>
        <w:rPr>
          <w:rFonts w:ascii="AytoRoquetas Light Condensed" w:hAnsi="AytoRoquetas Light Condensed"/>
          <w:i/>
          <w:iCs/>
          <w:sz w:val="20"/>
          <w:szCs w:val="20"/>
          <w:vertAlign w:val="superscript"/>
        </w:rPr>
        <w:t xml:space="preserve">3 </w:t>
      </w:r>
      <w:r>
        <w:rPr>
          <w:rFonts w:ascii="AytoRoquetas Light Condensed" w:hAnsi="AytoRoquetas Light Condensed"/>
          <w:i/>
          <w:iCs/>
          <w:sz w:val="20"/>
          <w:szCs w:val="20"/>
        </w:rPr>
        <w:t>de agua tratada por ósmosis inversa de 0,162273€ (sin IVA) y a nivel de microfiltración de 0,078132€ (sin IVA).</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5º) La diferencia entre la recaudación real obtenida por el concesionario durante el primer año del contrato aplicando los siguientes precios:</w:t>
      </w:r>
    </w:p>
    <w:p>
      <w:pPr>
        <w:pStyle w:val="ListParagraph"/>
        <w:numPr>
          <w:ilvl w:val="0"/>
          <w:numId w:val="4"/>
        </w:numPr>
        <w:spacing w:lineRule="auto" w:line="288" w:before="0" w:after="0"/>
        <w:ind w:hanging="218" w:left="1276" w:right="566"/>
        <w:contextualSpacing/>
        <w:rPr>
          <w:rFonts w:ascii="AytoRoquetas Light Condensed" w:hAnsi="AytoRoquetas Light Condensed"/>
          <w:i/>
          <w:i/>
          <w:iCs/>
          <w:sz w:val="20"/>
          <w:szCs w:val="20"/>
        </w:rPr>
      </w:pPr>
      <w:r>
        <w:rPr>
          <w:rFonts w:ascii="AytoRoquetas Light Condensed" w:hAnsi="AytoRoquetas Light Condensed"/>
          <w:i/>
          <w:iCs/>
          <w:sz w:val="20"/>
          <w:szCs w:val="20"/>
        </w:rPr>
        <w:t xml:space="preserve">Para los servicios establecidos en el apartado 1.1 del PPT (tratamiento secundario) </w:t>
      </w:r>
    </w:p>
    <w:p>
      <w:pPr>
        <w:pStyle w:val="ListParagraph"/>
        <w:numPr>
          <w:ilvl w:val="1"/>
          <w:numId w:val="4"/>
        </w:numPr>
        <w:spacing w:lineRule="auto" w:line="288" w:before="0" w:after="0"/>
        <w:ind w:hanging="218" w:left="1276" w:right="566"/>
        <w:contextualSpacing/>
        <w:rPr>
          <w:rFonts w:ascii="AytoRoquetas Light Condensed" w:hAnsi="AytoRoquetas Light Condensed"/>
          <w:i/>
          <w:i/>
          <w:iCs/>
          <w:sz w:val="20"/>
          <w:szCs w:val="20"/>
        </w:rPr>
      </w:pPr>
      <w:r>
        <w:rPr>
          <w:rFonts w:ascii="AytoRoquetas Light Condensed" w:hAnsi="AytoRoquetas Light Condensed"/>
          <w:i/>
          <w:iCs/>
          <w:sz w:val="20"/>
          <w:szCs w:val="20"/>
        </w:rPr>
        <w:t>Precio unitario por metro cubico de agua facturada a 0,048081€ (sin IVA)</w:t>
      </w:r>
    </w:p>
    <w:p>
      <w:pPr>
        <w:pStyle w:val="ListParagraph"/>
        <w:numPr>
          <w:ilvl w:val="1"/>
          <w:numId w:val="4"/>
        </w:numPr>
        <w:spacing w:lineRule="auto" w:line="288" w:before="0" w:after="0"/>
        <w:ind w:hanging="218" w:left="1276" w:right="566"/>
        <w:contextualSpacing/>
        <w:rPr>
          <w:rFonts w:ascii="AytoRoquetas Light Condensed" w:hAnsi="AytoRoquetas Light Condensed"/>
          <w:i/>
          <w:i/>
          <w:iCs/>
          <w:sz w:val="20"/>
          <w:szCs w:val="20"/>
        </w:rPr>
      </w:pPr>
      <w:r>
        <w:rPr>
          <w:rFonts w:ascii="AytoRoquetas Light Condensed" w:hAnsi="AytoRoquetas Light Condensed"/>
          <w:i/>
          <w:iCs/>
          <w:sz w:val="20"/>
          <w:szCs w:val="20"/>
        </w:rPr>
        <w:t>Tasa unitaria del servicio por vivienda equivalente y trimestre a 3,005061€ (sin IVA)</w:t>
      </w:r>
    </w:p>
    <w:p>
      <w:pPr>
        <w:pStyle w:val="ListParagraph"/>
        <w:numPr>
          <w:ilvl w:val="0"/>
          <w:numId w:val="4"/>
        </w:numPr>
        <w:spacing w:lineRule="auto" w:line="288" w:before="0" w:after="0"/>
        <w:ind w:hanging="218" w:left="1276" w:right="566"/>
        <w:contextualSpacing/>
        <w:rPr>
          <w:rFonts w:ascii="AytoRoquetas Light Condensed" w:hAnsi="AytoRoquetas Light Condensed"/>
          <w:i/>
          <w:i/>
          <w:iCs/>
          <w:sz w:val="20"/>
          <w:szCs w:val="20"/>
        </w:rPr>
      </w:pPr>
      <w:r>
        <w:rPr>
          <w:rFonts w:ascii="AytoRoquetas Light Condensed" w:hAnsi="AytoRoquetas Light Condensed"/>
          <w:i/>
          <w:iCs/>
          <w:sz w:val="20"/>
          <w:szCs w:val="20"/>
        </w:rPr>
        <w:t>Para los servicios establecidos en el apartado 1.2 del PPT</w:t>
      </w:r>
    </w:p>
    <w:p>
      <w:pPr>
        <w:pStyle w:val="ListParagraph"/>
        <w:numPr>
          <w:ilvl w:val="0"/>
          <w:numId w:val="5"/>
        </w:numPr>
        <w:spacing w:lineRule="auto" w:line="288" w:before="0" w:after="0"/>
        <w:ind w:hanging="218" w:left="1276" w:right="566"/>
        <w:contextualSpacing/>
        <w:rPr>
          <w:rFonts w:ascii="AytoRoquetas Light Condensed" w:hAnsi="AytoRoquetas Light Condensed"/>
          <w:i/>
          <w:i/>
          <w:iCs/>
          <w:sz w:val="20"/>
          <w:szCs w:val="20"/>
        </w:rPr>
      </w:pPr>
      <w:r>
        <w:rPr>
          <w:rFonts w:ascii="AytoRoquetas Light Condensed" w:hAnsi="AytoRoquetas Light Condensed"/>
          <w:i/>
          <w:iCs/>
          <w:sz w:val="20"/>
          <w:szCs w:val="20"/>
        </w:rPr>
        <w:t xml:space="preserve">Precio unitario por metro cubico de agua tratada a nivel de ósmosis inversa a 0,162273€ (sin IVA) y a nivel de microfiltración de 0,078132€ (sin IVA) </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8º) Facultar al Presidente del consorcio, para la firma de los contratos.</w:t>
      </w:r>
    </w:p>
    <w:p>
      <w:pPr>
        <w:pStyle w:val="Normal"/>
        <w:spacing w:lineRule="auto" w:line="288" w:before="0" w:after="200"/>
        <w:ind w:left="567" w:right="566"/>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567"/>
        <w:contextualSpacing/>
        <w:jc w:val="both"/>
        <w:rPr>
          <w:rFonts w:ascii="AytoRoquetas Light Condensed" w:hAnsi="AytoRoquetas Light Condensed"/>
          <w:sz w:val="20"/>
          <w:szCs w:val="20"/>
        </w:rPr>
      </w:pPr>
      <w:r>
        <w:rPr>
          <w:rFonts w:ascii="AytoRoquetas Light Condensed" w:hAnsi="AytoRoquetas Light Condensed"/>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pPr>
        <w:pStyle w:val="Normal"/>
        <w:spacing w:lineRule="auto" w:line="288" w:before="0" w:after="200"/>
        <w:ind w:firstLine="567"/>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567"/>
        <w:contextualSpacing/>
        <w:jc w:val="both"/>
        <w:rPr>
          <w:rFonts w:ascii="AytoRoquetas Light Condensed" w:hAnsi="AytoRoquetas Light Condensed"/>
          <w:sz w:val="20"/>
          <w:szCs w:val="20"/>
        </w:rPr>
      </w:pPr>
      <w:r>
        <w:rPr>
          <w:rFonts w:ascii="AytoRoquetas Light Condensed" w:hAnsi="AytoRoquetas Light Condensed"/>
          <w:b/>
          <w:bCs/>
          <w:sz w:val="20"/>
          <w:szCs w:val="20"/>
        </w:rPr>
        <w:t>2</w:t>
      </w:r>
      <w:r>
        <w:rPr>
          <w:rFonts w:ascii="AytoRoquetas Light Condensed" w:hAnsi="AytoRoquetas Light Condensed"/>
          <w:sz w:val="20"/>
          <w:szCs w:val="20"/>
        </w:rPr>
        <w:t>. En relación al importe de las tarifas del servicio vigentes es preciso tomar en consideración que en fecha 25 de abril de 2016 se publicó en el BOP de Almería nº 77 la elevación a definitiva de la aprobación inicial de la modificación de la Ordenanza Fiscal Reguladora de la Tasa por el Servicio de Depuración que queda redactado conforme al siguiente tenor:</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5.1 La cuota tributaria a exigir por la prestación de los servicios de transporte en alta y depuración de agua residual será la siguiente:</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CUADRO TARIFA</w:t>
      </w:r>
    </w:p>
    <w:tbl>
      <w:tblPr>
        <w:tblW w:w="5000" w:type="pct"/>
        <w:jc w:val="left"/>
        <w:tblInd w:w="0" w:type="dxa"/>
        <w:tblLayout w:type="fixed"/>
        <w:tblCellMar>
          <w:top w:w="100" w:type="dxa"/>
          <w:left w:w="100" w:type="dxa"/>
          <w:bottom w:w="100" w:type="dxa"/>
          <w:right w:w="100" w:type="dxa"/>
        </w:tblCellMar>
        <w:tblLook w:firstRow="0" w:noVBand="0" w:lastRow="0" w:firstColumn="0" w:lastColumn="0" w:noHBand="0" w:val="0000"/>
      </w:tblPr>
      <w:tblGrid>
        <w:gridCol w:w="2382"/>
        <w:gridCol w:w="2829"/>
        <w:gridCol w:w="3350"/>
      </w:tblGrid>
      <w:tr>
        <w:trPr>
          <w:trHeight w:val="220" w:hRule="atLeast"/>
          <w:cantSplit w:val="true"/>
        </w:trPr>
        <w:tc>
          <w:tcPr>
            <w:tcW w:w="238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tc>
        <w:tc>
          <w:tcPr>
            <w:tcW w:w="2829" w:type="dxa"/>
            <w:tcBorders>
              <w:top w:val="single" w:sz="8" w:space="0" w:color="000000"/>
              <w:left w:val="single" w:sz="4"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IMPORTE SIN I.V.A</w:t>
            </w:r>
          </w:p>
        </w:tc>
        <w:tc>
          <w:tcPr>
            <w:tcW w:w="33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tc>
      </w:tr>
      <w:tr>
        <w:trPr>
          <w:trHeight w:val="220" w:hRule="atLeast"/>
          <w:cantSplit w:val="true"/>
        </w:trPr>
        <w:tc>
          <w:tcPr>
            <w:tcW w:w="238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1. PARTE FIJA</w:t>
            </w:r>
          </w:p>
        </w:tc>
        <w:tc>
          <w:tcPr>
            <w:tcW w:w="2829" w:type="dxa"/>
            <w:tcBorders>
              <w:top w:val="single" w:sz="8" w:space="0" w:color="000000"/>
              <w:left w:val="single" w:sz="4"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6,50</w:t>
            </w:r>
          </w:p>
        </w:tc>
        <w:tc>
          <w:tcPr>
            <w:tcW w:w="33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Euros/vvda equivalente/trimestre</w:t>
            </w:r>
          </w:p>
        </w:tc>
      </w:tr>
      <w:tr>
        <w:trPr>
          <w:trHeight w:val="220" w:hRule="atLeast"/>
          <w:cantSplit w:val="true"/>
        </w:trPr>
        <w:tc>
          <w:tcPr>
            <w:tcW w:w="238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2. PARTE VARIABLE</w:t>
            </w:r>
          </w:p>
        </w:tc>
        <w:tc>
          <w:tcPr>
            <w:tcW w:w="2829" w:type="dxa"/>
            <w:tcBorders>
              <w:top w:val="single" w:sz="8" w:space="0" w:color="000000"/>
              <w:left w:val="single" w:sz="4"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0,1168</w:t>
            </w:r>
          </w:p>
        </w:tc>
        <w:tc>
          <w:tcPr>
            <w:tcW w:w="3350"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Euros/m3</w:t>
            </w:r>
          </w:p>
        </w:tc>
      </w:tr>
      <w:tr>
        <w:trPr>
          <w:trHeight w:val="400" w:hRule="atLeast"/>
          <w:cantSplit w:val="true"/>
        </w:trPr>
        <w:tc>
          <w:tcPr>
            <w:tcW w:w="856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Esta parte variable se aplicará a los metros cúbicos de agua utilizados en cada vivienda o finca con independencia del caudal vertido</w:t>
            </w:r>
          </w:p>
        </w:tc>
      </w:tr>
    </w:tbl>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VIVIENDAS EQUIVALENTES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Para el cálculo de la cuota fija, los usos distintos a la vivienda, se transformarán en viviendas equivalentes, mediante la siguiente tabla.</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TABLA DE EQUIVALENCIAS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Alojamientos, locales y establecimientos: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Almacenes, grandes superficies, supermercados, mercados, organismos oficiales y establecimientos en general:</w:t>
      </w:r>
    </w:p>
    <w:p>
      <w:pPr>
        <w:pStyle w:val="Normal"/>
        <w:numPr>
          <w:ilvl w:val="0"/>
          <w:numId w:val="1"/>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Hasta 100 metros cuadrados construidos 1 Veq.</w:t>
      </w:r>
    </w:p>
    <w:p>
      <w:pPr>
        <w:pStyle w:val="Normal"/>
        <w:numPr>
          <w:ilvl w:val="0"/>
          <w:numId w:val="1"/>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Exceso de 100 metros cuadrados 0,01 Veq/m2 exceso.</w:t>
      </w:r>
    </w:p>
    <w:p>
      <w:pPr>
        <w:pStyle w:val="Normal"/>
        <w:numPr>
          <w:ilvl w:val="0"/>
          <w:numId w:val="1"/>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Cafeterías, bares, pubs y restaurantes: hasta 40 metros cuadrados 1,9 Veq.</w:t>
      </w:r>
    </w:p>
    <w:p>
      <w:pPr>
        <w:pStyle w:val="Normal"/>
        <w:numPr>
          <w:ilvl w:val="0"/>
          <w:numId w:val="1"/>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Exceso de 40 metros cuadrados 0,03 Veq./m2 exceso.</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Establecimientos hoteleros:</w:t>
      </w:r>
    </w:p>
    <w:p>
      <w:pPr>
        <w:pStyle w:val="Normal"/>
        <w:numPr>
          <w:ilvl w:val="0"/>
          <w:numId w:val="2"/>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Por habitación 0,4 Veq.</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Talleres e industrias: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Talleres, lavado de coches en circuito cerrado, artesanía y pequeña industria no contaminante con vertidos asimilables a los domésticos:</w:t>
      </w:r>
    </w:p>
    <w:p>
      <w:pPr>
        <w:pStyle w:val="Normal"/>
        <w:numPr>
          <w:ilvl w:val="0"/>
          <w:numId w:val="3"/>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Hasta 100 m2 eq.</w:t>
      </w:r>
    </w:p>
    <w:p>
      <w:pPr>
        <w:pStyle w:val="Normal"/>
        <w:numPr>
          <w:ilvl w:val="0"/>
          <w:numId w:val="3"/>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Exceso de 100 m2: 0,008 Veq/m2 exceso.</w:t>
      </w:r>
    </w:p>
    <w:p>
      <w:pPr>
        <w:pStyle w:val="Normal"/>
        <w:numPr>
          <w:ilvl w:val="0"/>
          <w:numId w:val="3"/>
        </w:numPr>
        <w:spacing w:lineRule="auto" w:line="288" w:before="0" w:after="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Talleres o industrias con vertidos especiales. El Consorcio fijará si el vertido es compatible con la estación de tratamiento y la equivalencia en viviendas en función de la carga contaminante en relación con el promedio de las viviendas normales.</w:t>
      </w:r>
    </w:p>
    <w:p>
      <w:pPr>
        <w:pStyle w:val="Normal"/>
        <w:spacing w:lineRule="auto" w:line="288" w:before="0" w:after="200"/>
        <w:ind w:left="567" w:right="566"/>
        <w:contextualSpacing/>
        <w:jc w:val="both"/>
        <w:rPr>
          <w:rFonts w:ascii="AytoRoquetas Light Condensed" w:hAnsi="AytoRoquetas Light Condensed"/>
          <w:sz w:val="20"/>
          <w:szCs w:val="20"/>
        </w:rPr>
      </w:pPr>
      <w:r>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r>
        <w:rPr>
          <w:rFonts w:ascii="AytoRoquetas Light Condensed" w:hAnsi="AytoRoquetas Light Condensed"/>
          <w:sz w:val="20"/>
          <w:szCs w:val="20"/>
        </w:rPr>
        <w:t>.</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567"/>
        <w:contextualSpacing/>
        <w:jc w:val="both"/>
        <w:rPr>
          <w:rFonts w:ascii="AytoRoquetas Light Condensed" w:hAnsi="AytoRoquetas Light Condensed"/>
          <w:sz w:val="20"/>
          <w:szCs w:val="20"/>
        </w:rPr>
      </w:pPr>
      <w:r>
        <w:rPr>
          <w:rFonts w:ascii="AytoRoquetas Light Condensed" w:hAnsi="AytoRoquetas Light Condensed"/>
          <w:sz w:val="20"/>
          <w:szCs w:val="20"/>
        </w:rPr>
        <w:t>Se añade un nuevo epígrafe al artículo 5 para incluir el precio del transporte de agua del tratamiento terciario. Quedaría como sigue:</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 siguiente:</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CUADRO TARIFA</w:t>
      </w:r>
    </w:p>
    <w:tbl>
      <w:tblPr>
        <w:tblW w:w="5000" w:type="pct"/>
        <w:jc w:val="left"/>
        <w:tblInd w:w="0" w:type="dxa"/>
        <w:tblLayout w:type="fixed"/>
        <w:tblCellMar>
          <w:top w:w="100" w:type="dxa"/>
          <w:left w:w="100" w:type="dxa"/>
          <w:bottom w:w="100" w:type="dxa"/>
          <w:right w:w="100" w:type="dxa"/>
        </w:tblCellMar>
        <w:tblLook w:firstRow="0" w:noVBand="0" w:lastRow="0" w:firstColumn="0" w:lastColumn="0" w:noHBand="0" w:val="0000"/>
      </w:tblPr>
      <w:tblGrid>
        <w:gridCol w:w="3256"/>
        <w:gridCol w:w="2769"/>
        <w:gridCol w:w="2536"/>
      </w:tblGrid>
      <w:tr>
        <w:trPr>
          <w:trHeight w:val="220" w:hRule="atLeast"/>
          <w:cantSplit w:val="true"/>
        </w:trPr>
        <w:tc>
          <w:tcPr>
            <w:tcW w:w="325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tc>
        <w:tc>
          <w:tcPr>
            <w:tcW w:w="2769"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left="-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IMPORTE SIN I.V.A</w:t>
            </w:r>
          </w:p>
        </w:tc>
        <w:tc>
          <w:tcPr>
            <w:tcW w:w="25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left="-13"/>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tc>
      </w:tr>
      <w:tr>
        <w:trPr>
          <w:trHeight w:val="400" w:hRule="atLeast"/>
          <w:cantSplit w:val="true"/>
        </w:trPr>
        <w:tc>
          <w:tcPr>
            <w:tcW w:w="325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1. PARTE FIJA PRODUCCIÓN TERCIARIO</w:t>
            </w:r>
          </w:p>
        </w:tc>
        <w:tc>
          <w:tcPr>
            <w:tcW w:w="2769"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left="-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0</w:t>
            </w:r>
          </w:p>
        </w:tc>
        <w:tc>
          <w:tcPr>
            <w:tcW w:w="25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left="-13"/>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Euros/cliente/trimestre</w:t>
            </w:r>
          </w:p>
        </w:tc>
      </w:tr>
      <w:tr>
        <w:trPr>
          <w:trHeight w:val="400" w:hRule="atLeast"/>
          <w:cantSplit w:val="true"/>
        </w:trPr>
        <w:tc>
          <w:tcPr>
            <w:tcW w:w="325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2. PARTE VARIABLE PRODUCCIÓN TERCIARIO</w:t>
            </w:r>
          </w:p>
        </w:tc>
        <w:tc>
          <w:tcPr>
            <w:tcW w:w="2769"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left="-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0,1656</w:t>
            </w:r>
          </w:p>
        </w:tc>
        <w:tc>
          <w:tcPr>
            <w:tcW w:w="253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left="-13"/>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Euros/m3</w:t>
            </w:r>
          </w:p>
        </w:tc>
      </w:tr>
      <w:tr>
        <w:trPr>
          <w:trHeight w:val="180" w:hRule="atLeast"/>
          <w:cantSplit w:val="true"/>
        </w:trPr>
        <w:tc>
          <w:tcPr>
            <w:tcW w:w="8561" w:type="dxa"/>
            <w:gridSpan w:val="3"/>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88" w:before="0" w:after="200"/>
              <w:ind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Esta parte variable se aplicará a los metros cúbicos de agua servidos en el punto de entrega fijado.</w:t>
            </w:r>
          </w:p>
        </w:tc>
      </w:tr>
    </w:tbl>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b/>
          <w:bCs/>
          <w:sz w:val="20"/>
          <w:szCs w:val="20"/>
        </w:rPr>
        <w:t>3</w:t>
      </w:r>
      <w:r>
        <w:rPr>
          <w:rFonts w:ascii="AytoRoquetas Light Condensed" w:hAnsi="AytoRoquetas Light Condensed"/>
          <w:sz w:val="20"/>
          <w:szCs w:val="20"/>
        </w:rPr>
        <w:t xml:space="preserve">. El 28 de enero de 2021 se publicó en el BOP nº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publicas a la modificación de la referida Ordenanza, todo ello en cumplimiento de lo acordado por la Junta General del Consorcio en su sesión celebrada en fecha 30 de noviembre de 2020. </w:t>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b/>
          <w:bCs/>
          <w:sz w:val="20"/>
          <w:szCs w:val="20"/>
        </w:rPr>
        <w:t>4</w:t>
      </w:r>
      <w:r>
        <w:rPr>
          <w:rFonts w:ascii="AytoRoquetas Light Condensed" w:hAnsi="AytoRoquetas Light Condensed"/>
          <w:sz w:val="20"/>
          <w:szCs w:val="20"/>
        </w:rPr>
        <w:t>.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nº 185 de fecha 27 de septiembre de 2021, quedando redactado el art. 5 de la citada Ordenanza con arreglo al siguiente tenor:</w:t>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left="567"/>
        <w:contextualSpacing/>
        <w:jc w:val="both"/>
        <w:rPr>
          <w:rFonts w:ascii="AytoRoquetas Light Condensed" w:hAnsi="AytoRoquetas Light Condensed"/>
          <w:b/>
          <w:bCs/>
          <w:i/>
          <w:i/>
          <w:iCs/>
          <w:sz w:val="20"/>
          <w:szCs w:val="20"/>
        </w:rPr>
      </w:pPr>
      <w:r>
        <w:rPr>
          <w:rFonts w:ascii="AytoRoquetas Light Condensed" w:hAnsi="AytoRoquetas Light Condensed"/>
          <w:b/>
          <w:bCs/>
          <w:i/>
          <w:iCs/>
          <w:sz w:val="20"/>
          <w:szCs w:val="20"/>
        </w:rPr>
        <w:t>Artículo 5°.</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CUADRO TARIFA</w:t>
      </w:r>
    </w:p>
    <w:tbl>
      <w:tblPr>
        <w:tblStyle w:val="Tablaconcuadrcula"/>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2417"/>
        <w:gridCol w:w="3072"/>
        <w:gridCol w:w="3072"/>
      </w:tblGrid>
      <w:tr>
        <w:trPr/>
        <w:tc>
          <w:tcPr>
            <w:tcW w:w="2417" w:type="dxa"/>
            <w:tcBorders/>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r>
          </w:p>
        </w:tc>
        <w:tc>
          <w:tcPr>
            <w:tcW w:w="3072" w:type="dxa"/>
            <w:tcBorders/>
          </w:tcPr>
          <w:p>
            <w:pPr>
              <w:pStyle w:val="Normal"/>
              <w:widowControl/>
              <w:spacing w:lineRule="auto" w:line="288" w:before="0" w:after="200"/>
              <w:contextualSpacing/>
              <w:jc w:val="center"/>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IMPORTE SIN IVA</w:t>
            </w:r>
          </w:p>
        </w:tc>
        <w:tc>
          <w:tcPr>
            <w:tcW w:w="3072" w:type="dxa"/>
            <w:tcBorders/>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r>
          </w:p>
        </w:tc>
      </w:tr>
      <w:tr>
        <w:trPr/>
        <w:tc>
          <w:tcPr>
            <w:tcW w:w="2417" w:type="dxa"/>
            <w:tcBorders/>
          </w:tcPr>
          <w:p>
            <w:pPr>
              <w:pStyle w:val="ListParagraph"/>
              <w:widowControl/>
              <w:numPr>
                <w:ilvl w:val="0"/>
                <w:numId w:val="6"/>
              </w:numPr>
              <w:spacing w:lineRule="auto" w:line="288" w:before="0" w:after="0"/>
              <w:contextualSpacing/>
              <w:rPr>
                <w:rFonts w:ascii="AytoRoquetas Light Condensed" w:hAnsi="AytoRoquetas Light Condensed"/>
                <w:i/>
                <w:i/>
                <w:iCs/>
              </w:rPr>
            </w:pPr>
            <w:r>
              <w:rPr>
                <w:rFonts w:ascii="AytoRoquetas Light Condensed" w:hAnsi="AytoRoquetas Light Condensed"/>
                <w:i/>
                <w:iCs/>
                <w:kern w:val="0"/>
                <w:lang w:val="es-ES" w:eastAsia="es-ES" w:bidi="ar-SA"/>
              </w:rPr>
              <w:t>PARTE FIJA</w:t>
            </w:r>
          </w:p>
        </w:tc>
        <w:tc>
          <w:tcPr>
            <w:tcW w:w="3072" w:type="dxa"/>
            <w:tcBorders/>
            <w:vAlign w:val="center"/>
          </w:tcPr>
          <w:p>
            <w:pPr>
              <w:pStyle w:val="Normal"/>
              <w:widowControl/>
              <w:spacing w:lineRule="auto" w:line="288" w:before="0" w:after="200"/>
              <w:contextualSpacing/>
              <w:jc w:val="center"/>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6.50</w:t>
            </w:r>
          </w:p>
        </w:tc>
        <w:tc>
          <w:tcPr>
            <w:tcW w:w="3072" w:type="dxa"/>
            <w:tcBorders/>
            <w:vAlign w:val="center"/>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Euros/vvda</w:t>
            </w:r>
          </w:p>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Equivalente/trimestre</w:t>
            </w:r>
          </w:p>
        </w:tc>
      </w:tr>
      <w:tr>
        <w:trPr/>
        <w:tc>
          <w:tcPr>
            <w:tcW w:w="2417" w:type="dxa"/>
            <w:tcBorders/>
          </w:tcPr>
          <w:p>
            <w:pPr>
              <w:pStyle w:val="ListParagraph"/>
              <w:widowControl/>
              <w:numPr>
                <w:ilvl w:val="0"/>
                <w:numId w:val="6"/>
              </w:numPr>
              <w:spacing w:lineRule="auto" w:line="288" w:before="0" w:after="0"/>
              <w:contextualSpacing/>
              <w:rPr>
                <w:rFonts w:ascii="AytoRoquetas Light Condensed" w:hAnsi="AytoRoquetas Light Condensed"/>
                <w:i/>
                <w:i/>
                <w:iCs/>
              </w:rPr>
            </w:pPr>
            <w:r>
              <w:rPr>
                <w:rFonts w:ascii="AytoRoquetas Light Condensed" w:hAnsi="AytoRoquetas Light Condensed"/>
                <w:i/>
                <w:iCs/>
                <w:kern w:val="0"/>
                <w:lang w:val="es-ES" w:eastAsia="es-ES" w:bidi="ar-SA"/>
              </w:rPr>
              <w:t>PARTE VARIABLE</w:t>
            </w:r>
          </w:p>
        </w:tc>
        <w:tc>
          <w:tcPr>
            <w:tcW w:w="3072" w:type="dxa"/>
            <w:tcBorders/>
            <w:vAlign w:val="center"/>
          </w:tcPr>
          <w:p>
            <w:pPr>
              <w:pStyle w:val="Normal"/>
              <w:widowControl/>
              <w:spacing w:lineRule="auto" w:line="288" w:before="0" w:after="200"/>
              <w:contextualSpacing/>
              <w:jc w:val="center"/>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0.1168</w:t>
            </w:r>
          </w:p>
        </w:tc>
        <w:tc>
          <w:tcPr>
            <w:tcW w:w="3072" w:type="dxa"/>
            <w:tcBorders/>
            <w:vAlign w:val="center"/>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Euros/m3</w:t>
            </w:r>
          </w:p>
        </w:tc>
      </w:tr>
      <w:tr>
        <w:trPr/>
        <w:tc>
          <w:tcPr>
            <w:tcW w:w="8561" w:type="dxa"/>
            <w:gridSpan w:val="3"/>
            <w:tcBorders/>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Esta parte variable se aplicará a los metros cúbicos de agua utilizados en cada vivienda o finca con independencia del caudal vertido</w:t>
            </w:r>
          </w:p>
        </w:tc>
      </w:tr>
    </w:tbl>
    <w:p>
      <w:pPr>
        <w:pStyle w:val="Normal"/>
        <w:spacing w:lineRule="auto" w:line="288" w:before="0" w:after="20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VIVIENDAS EQUIVALENTES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Para el cálculo de la cuota fija, los usos distintos a la vivienda se transformarán en viviendas equivalentes, mediante la siguiente tabla.</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TABLA DE EQUIVALENCIAS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Alojamientos, locales y establecimientos: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Almacenes, grandes superficies, supermercados, mercados, organismos oficiales y establecimientos en general:</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Hasta 100 metros cuadrados construidos 1 Veq.</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Exceso de 100 metros cuadrados 0,01 Veq/m2 exceso.</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Cafeterías, bares, pubs y restaurantes: hasta 40 metros cuadrados 1,9 Veq.</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Exceso de 40 metros cuadrados 0,03 Veq./m2 exceso. Establecimientos hoteleros: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Por habitación 0,4 Veq. Talleres e industrias: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Talleres, lavado de coches en circuito cerrado, artesanía y pequeña industria no contaminante con vertidos asimilables a los domésticos:</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 xml:space="preserve"> </w:t>
      </w:r>
      <w:r>
        <w:rPr>
          <w:rFonts w:ascii="AytoRoquetas Light Condensed" w:hAnsi="AytoRoquetas Light Condensed"/>
          <w:i/>
          <w:iCs/>
          <w:sz w:val="20"/>
          <w:szCs w:val="20"/>
        </w:rPr>
        <w:t>-</w:t>
        <w:tab/>
        <w:t>Hasta 100 m2 eq.</w:t>
      </w:r>
    </w:p>
    <w:p>
      <w:pPr>
        <w:pStyle w:val="Normal"/>
        <w:spacing w:lineRule="auto" w:line="288" w:before="0" w:after="200"/>
        <w:ind w:left="567" w:right="566"/>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Exceso de 100 m2: 0,008 Veq/m2 exceso.</w:t>
      </w:r>
    </w:p>
    <w:p>
      <w:pPr>
        <w:pStyle w:val="Normal"/>
        <w:spacing w:lineRule="auto" w:line="288" w:before="0" w:after="200"/>
        <w:ind w:left="567" w:right="56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w:t>
        <w:tab/>
        <w:t>Talleres o industrias con vertidos especiales. El Consorcio fijará si el vertido es compatible con la estación de tratamiento y la equivalencia en viviendas en función de la carga contaminante en relación con el promedio de las viviendas normales.</w:t>
      </w:r>
    </w:p>
    <w:p>
      <w:pPr>
        <w:pStyle w:val="Normal"/>
        <w:spacing w:lineRule="auto" w:line="288" w:before="0" w:after="200"/>
        <w:ind w:left="567" w:right="56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pPr>
        <w:pStyle w:val="Normal"/>
        <w:spacing w:lineRule="auto" w:line="288" w:before="0" w:after="200"/>
        <w:ind w:left="567" w:right="56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 xml:space="preserve">5.2. La cuota por vertido directo a las EDARS del Consorcio: </w:t>
      </w:r>
    </w:p>
    <w:p>
      <w:pPr>
        <w:pStyle w:val="Normal"/>
        <w:spacing w:lineRule="auto" w:line="288" w:before="0" w:after="200"/>
        <w:ind w:left="567" w:right="56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CUADRO TARIFA</w:t>
      </w:r>
    </w:p>
    <w:tbl>
      <w:tblPr>
        <w:tblStyle w:val="TableNormal"/>
        <w:tblW w:w="5000" w:type="pct"/>
        <w:jc w:val="left"/>
        <w:tblInd w:w="0" w:type="dxa"/>
        <w:tblLayout w:type="fixed"/>
        <w:tblCellMar>
          <w:top w:w="0" w:type="dxa"/>
          <w:left w:w="11" w:type="dxa"/>
          <w:bottom w:w="0" w:type="dxa"/>
          <w:right w:w="7" w:type="dxa"/>
        </w:tblCellMar>
        <w:tblLook w:firstRow="1" w:noVBand="0" w:lastRow="1" w:firstColumn="1" w:lastColumn="1" w:noHBand="0" w:val="01e0"/>
      </w:tblPr>
      <w:tblGrid>
        <w:gridCol w:w="4362"/>
        <w:gridCol w:w="1615"/>
        <w:gridCol w:w="1460"/>
        <w:gridCol w:w="1123"/>
      </w:tblGrid>
      <w:tr>
        <w:trPr>
          <w:trHeight w:val="743" w:hRule="exact"/>
        </w:trPr>
        <w:tc>
          <w:tcPr>
            <w:tcW w:w="4362" w:type="dxa"/>
            <w:tcBorders>
              <w:top w:val="single" w:sz="8" w:space="0" w:color="000000"/>
              <w:left w:val="single" w:sz="8" w:space="0" w:color="000000"/>
              <w:bottom w:val="single" w:sz="6" w:space="0" w:color="000000"/>
              <w:right w:val="single" w:sz="6" w:space="0" w:color="000000"/>
            </w:tcBorders>
            <w:vAlign w:val="center"/>
          </w:tcPr>
          <w:p>
            <w:pPr>
              <w:pStyle w:val="Normal"/>
              <w:widowControl w:val="false"/>
              <w:spacing w:lineRule="auto" w:line="288" w:before="0" w:after="200"/>
              <w:contextualSpacing/>
              <w:jc w:val="both"/>
              <w:rPr>
                <w:rFonts w:ascii="AytoRoquetas Light Condensed" w:hAnsi="AytoRoquetas Light Condensed"/>
                <w:i/>
                <w:i/>
                <w:iCs/>
                <w:sz w:val="20"/>
                <w:szCs w:val="20"/>
                <w:lang w:val="es-ES"/>
              </w:rPr>
            </w:pPr>
            <w:r>
              <w:rPr>
                <w:rFonts w:eastAsia="Calibri" w:ascii="AytoRoquetas Light Condensed" w:hAnsi="AytoRoquetas Light Condensed"/>
                <w:i/>
                <w:iCs/>
                <w:kern w:val="0"/>
                <w:sz w:val="20"/>
                <w:szCs w:val="20"/>
                <w:lang w:val="es-ES" w:eastAsia="en-US" w:bidi="ar-SA"/>
              </w:rPr>
            </w:r>
          </w:p>
        </w:tc>
        <w:tc>
          <w:tcPr>
            <w:tcW w:w="1615" w:type="dxa"/>
            <w:tcBorders>
              <w:top w:val="single" w:sz="8" w:space="0" w:color="000000"/>
              <w:left w:val="single" w:sz="6" w:space="0" w:color="000000"/>
              <w:bottom w:val="single" w:sz="6" w:space="0" w:color="000000"/>
              <w:right w:val="single" w:sz="6" w:space="0" w:color="000000"/>
            </w:tcBorders>
            <w:vAlign w:val="center"/>
          </w:tcPr>
          <w:p>
            <w:pPr>
              <w:pStyle w:val="TableParagraph"/>
              <w:spacing w:lineRule="auto" w:line="288" w:before="0" w:after="0"/>
              <w:ind w:left="61"/>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IMPORTE CON I.V.A AL 8%</w:t>
            </w:r>
          </w:p>
        </w:tc>
        <w:tc>
          <w:tcPr>
            <w:tcW w:w="1460" w:type="dxa"/>
            <w:tcBorders>
              <w:top w:val="single" w:sz="8" w:space="0" w:color="000000"/>
              <w:left w:val="single" w:sz="6" w:space="0" w:color="000000"/>
              <w:bottom w:val="single" w:sz="6" w:space="0" w:color="000000"/>
              <w:right w:val="single" w:sz="6" w:space="0" w:color="000000"/>
            </w:tcBorders>
            <w:vAlign w:val="center"/>
          </w:tcPr>
          <w:p>
            <w:pPr>
              <w:pStyle w:val="Normal"/>
              <w:widowControl w:val="false"/>
              <w:spacing w:lineRule="auto" w:line="288" w:before="0" w:after="200"/>
              <w:contextualSpacing/>
              <w:jc w:val="center"/>
              <w:rPr>
                <w:rFonts w:ascii="AytoRoquetas Light Condensed" w:hAnsi="AytoRoquetas Light Condensed"/>
                <w:i/>
                <w:i/>
                <w:iCs/>
                <w:sz w:val="20"/>
                <w:szCs w:val="20"/>
                <w:lang w:val="es-ES"/>
              </w:rPr>
            </w:pPr>
            <w:r>
              <w:rPr>
                <w:rFonts w:eastAsia="Calibri" w:ascii="AytoRoquetas Light Condensed" w:hAnsi="AytoRoquetas Light Condensed"/>
                <w:i/>
                <w:iCs/>
                <w:kern w:val="0"/>
                <w:sz w:val="20"/>
                <w:szCs w:val="20"/>
                <w:lang w:val="es-ES" w:eastAsia="en-US" w:bidi="ar-SA"/>
              </w:rPr>
            </w:r>
          </w:p>
        </w:tc>
        <w:tc>
          <w:tcPr>
            <w:tcW w:w="1123" w:type="dxa"/>
            <w:tcBorders>
              <w:top w:val="single" w:sz="8" w:space="0" w:color="000000"/>
              <w:left w:val="single" w:sz="6" w:space="0" w:color="000000"/>
              <w:bottom w:val="single" w:sz="6" w:space="0" w:color="000000"/>
              <w:right w:val="single" w:sz="6" w:space="0" w:color="000000"/>
            </w:tcBorders>
            <w:vAlign w:val="center"/>
          </w:tcPr>
          <w:p>
            <w:pPr>
              <w:pStyle w:val="Normal"/>
              <w:widowControl w:val="false"/>
              <w:spacing w:lineRule="auto" w:line="288" w:before="0" w:after="200"/>
              <w:contextualSpacing/>
              <w:jc w:val="center"/>
              <w:rPr>
                <w:rFonts w:ascii="AytoRoquetas Light Condensed" w:hAnsi="AytoRoquetas Light Condensed"/>
                <w:i/>
                <w:i/>
                <w:iCs/>
                <w:sz w:val="20"/>
                <w:szCs w:val="20"/>
                <w:lang w:val="es-ES"/>
              </w:rPr>
            </w:pPr>
            <w:r>
              <w:rPr>
                <w:rFonts w:eastAsia="Calibri" w:ascii="AytoRoquetas Light Condensed" w:hAnsi="AytoRoquetas Light Condensed"/>
                <w:i/>
                <w:iCs/>
                <w:kern w:val="0"/>
                <w:sz w:val="20"/>
                <w:szCs w:val="20"/>
                <w:lang w:val="es-ES" w:eastAsia="en-US" w:bidi="ar-SA"/>
              </w:rPr>
            </w:r>
          </w:p>
        </w:tc>
      </w:tr>
      <w:tr>
        <w:trPr>
          <w:trHeight w:val="844" w:hRule="exact"/>
        </w:trPr>
        <w:tc>
          <w:tcPr>
            <w:tcW w:w="4362" w:type="dxa"/>
            <w:tcBorders>
              <w:top w:val="single" w:sz="6" w:space="0" w:color="000000"/>
              <w:left w:val="single" w:sz="8" w:space="0" w:color="000000"/>
              <w:bottom w:val="single" w:sz="6" w:space="0" w:color="000000"/>
              <w:right w:val="single" w:sz="6" w:space="0" w:color="000000"/>
            </w:tcBorders>
            <w:vAlign w:val="center"/>
          </w:tcPr>
          <w:p>
            <w:pPr>
              <w:pStyle w:val="TableParagraph"/>
              <w:spacing w:lineRule="auto" w:line="288" w:before="0" w:after="0"/>
              <w:contextualSpacing/>
              <w:jc w:val="both"/>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a) Vertidos con carga contaminante Baja ( DQC &lt;=2500)</w:t>
            </w:r>
          </w:p>
        </w:tc>
        <w:tc>
          <w:tcPr>
            <w:tcW w:w="1615"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ind w:left="61"/>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6,98</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7,54</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Euros/m3</w:t>
            </w:r>
          </w:p>
        </w:tc>
      </w:tr>
      <w:tr>
        <w:trPr>
          <w:trHeight w:val="1280" w:hRule="exact"/>
        </w:trPr>
        <w:tc>
          <w:tcPr>
            <w:tcW w:w="4362" w:type="dxa"/>
            <w:tcBorders>
              <w:top w:val="single" w:sz="6" w:space="0" w:color="000000"/>
              <w:left w:val="single" w:sz="8" w:space="0" w:color="000000"/>
              <w:bottom w:val="single" w:sz="6" w:space="0" w:color="000000"/>
              <w:right w:val="single" w:sz="6" w:space="0" w:color="000000"/>
            </w:tcBorders>
            <w:vAlign w:val="center"/>
          </w:tcPr>
          <w:p>
            <w:pPr>
              <w:pStyle w:val="TableParagraph"/>
              <w:spacing w:lineRule="auto" w:line="288" w:before="0" w:after="0"/>
              <w:contextualSpacing/>
              <w:jc w:val="both"/>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b) Vertidos con carga contaminante Media (Aguas residuales Concentradas) ( 2500&lt; DQC &lt;=5000)</w:t>
            </w:r>
          </w:p>
        </w:tc>
        <w:tc>
          <w:tcPr>
            <w:tcW w:w="1615"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ind w:left="61"/>
              <w:contextualSpacing/>
              <w:jc w:val="center"/>
              <w:rPr>
                <w:rFonts w:ascii="AytoRoquetas Light Condensed" w:hAnsi="AytoRoquetas Light Condensed"/>
                <w:i/>
                <w:i/>
                <w:iCs/>
                <w:sz w:val="20"/>
                <w:szCs w:val="20"/>
              </w:rPr>
            </w:pPr>
            <w:r>
              <w:rPr>
                <w:rFonts w:ascii="AytoRoquetas Light Condensed" w:hAnsi="AytoRoquetas Light Condensed"/>
                <w:i/>
                <w:iCs/>
                <w:w w:val="95"/>
                <w:kern w:val="0"/>
                <w:sz w:val="20"/>
                <w:szCs w:val="20"/>
                <w:lang w:val="en-US" w:bidi="ar-SA"/>
              </w:rPr>
              <w:t>8,50</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9,18</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Euros/m3</w:t>
            </w:r>
          </w:p>
        </w:tc>
      </w:tr>
      <w:tr>
        <w:trPr>
          <w:trHeight w:val="1097" w:hRule="exact"/>
        </w:trPr>
        <w:tc>
          <w:tcPr>
            <w:tcW w:w="4362" w:type="dxa"/>
            <w:tcBorders>
              <w:top w:val="single" w:sz="6" w:space="0" w:color="000000"/>
              <w:left w:val="single" w:sz="8" w:space="0" w:color="000000"/>
              <w:bottom w:val="single" w:sz="6" w:space="0" w:color="000000"/>
              <w:right w:val="single" w:sz="6" w:space="0" w:color="000000"/>
            </w:tcBorders>
            <w:vAlign w:val="center"/>
          </w:tcPr>
          <w:p>
            <w:pPr>
              <w:pStyle w:val="TableParagraph"/>
              <w:spacing w:lineRule="auto" w:line="288" w:before="0" w:after="0"/>
              <w:ind w:right="98"/>
              <w:contextualSpacing/>
              <w:jc w:val="both"/>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a) Vertidos con carga contaminante Alta (Residuos Industriales No Peligrosos) ( 2500&lt; DQC &lt;=5000)</w:t>
            </w:r>
          </w:p>
        </w:tc>
        <w:tc>
          <w:tcPr>
            <w:tcW w:w="1615"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ind w:left="61"/>
              <w:contextualSpacing/>
              <w:jc w:val="center"/>
              <w:rPr>
                <w:rFonts w:ascii="AytoRoquetas Light Condensed" w:hAnsi="AytoRoquetas Light Condensed"/>
                <w:i/>
                <w:i/>
                <w:iCs/>
                <w:sz w:val="20"/>
                <w:szCs w:val="20"/>
              </w:rPr>
            </w:pPr>
            <w:r>
              <w:rPr>
                <w:rFonts w:ascii="AytoRoquetas Light Condensed" w:hAnsi="AytoRoquetas Light Condensed"/>
                <w:i/>
                <w:iCs/>
                <w:w w:val="95"/>
                <w:kern w:val="0"/>
                <w:sz w:val="20"/>
                <w:szCs w:val="20"/>
                <w:lang w:val="en-US" w:bidi="ar-SA"/>
              </w:rPr>
              <w:t>24,79</w:t>
            </w:r>
          </w:p>
        </w:tc>
        <w:tc>
          <w:tcPr>
            <w:tcW w:w="1460"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26,77</w:t>
            </w:r>
          </w:p>
        </w:tc>
        <w:tc>
          <w:tcPr>
            <w:tcW w:w="1123" w:type="dxa"/>
            <w:tcBorders>
              <w:top w:val="single" w:sz="6" w:space="0" w:color="000000"/>
              <w:left w:val="single" w:sz="6" w:space="0" w:color="000000"/>
              <w:bottom w:val="single" w:sz="6" w:space="0" w:color="000000"/>
              <w:right w:val="single" w:sz="6" w:space="0" w:color="000000"/>
            </w:tcBorders>
            <w:vAlign w:val="center"/>
          </w:tcPr>
          <w:p>
            <w:pPr>
              <w:pStyle w:val="TableParagraph"/>
              <w:spacing w:lineRule="auto" w:line="288" w:before="0" w:after="0"/>
              <w:contextualSpacing/>
              <w:jc w:val="center"/>
              <w:rPr>
                <w:rFonts w:ascii="AytoRoquetas Light Condensed" w:hAnsi="AytoRoquetas Light Condensed"/>
                <w:i/>
                <w:i/>
                <w:iCs/>
                <w:sz w:val="20"/>
                <w:szCs w:val="20"/>
              </w:rPr>
            </w:pPr>
            <w:r>
              <w:rPr>
                <w:rFonts w:ascii="AytoRoquetas Light Condensed" w:hAnsi="AytoRoquetas Light Condensed"/>
                <w:i/>
                <w:iCs/>
                <w:kern w:val="0"/>
                <w:sz w:val="20"/>
                <w:szCs w:val="20"/>
                <w:lang w:val="en-US" w:bidi="ar-SA"/>
              </w:rPr>
              <w:t>Euros/m3</w:t>
            </w:r>
          </w:p>
        </w:tc>
      </w:tr>
    </w:tbl>
    <w:p>
      <w:pPr>
        <w:pStyle w:val="ListParagraph"/>
        <w:widowControl w:val="false"/>
        <w:tabs>
          <w:tab w:val="clear" w:pos="1134"/>
          <w:tab w:val="left" w:pos="2069" w:leader="none"/>
        </w:tabs>
        <w:spacing w:lineRule="auto" w:line="288" w:before="120" w:after="0"/>
        <w:ind w:left="567" w:right="347"/>
        <w:contextualSpacing/>
        <w:rPr>
          <w:rFonts w:ascii="AytoRoquetas Light Condensed" w:hAnsi="AytoRoquetas Light Condensed"/>
          <w:i/>
          <w:i/>
          <w:iCs/>
          <w:sz w:val="20"/>
          <w:szCs w:val="20"/>
        </w:rPr>
      </w:pPr>
      <w:r>
        <w:rPr>
          <w:rFonts w:ascii="AytoRoquetas Light Condensed" w:hAnsi="AytoRoquetas Light Condensed"/>
          <w:i/>
          <w:iCs/>
          <w:sz w:val="20"/>
          <w:szCs w:val="20"/>
        </w:rPr>
      </w:r>
    </w:p>
    <w:p>
      <w:pPr>
        <w:pStyle w:val="ListParagraph"/>
        <w:widowControl w:val="false"/>
        <w:tabs>
          <w:tab w:val="clear" w:pos="1134"/>
          <w:tab w:val="left" w:pos="2069" w:leader="none"/>
        </w:tabs>
        <w:spacing w:lineRule="auto" w:line="288" w:before="120" w:after="0"/>
        <w:ind w:left="567" w:right="347"/>
        <w:contextualSpacing/>
        <w:rPr>
          <w:rFonts w:ascii="AytoRoquetas Light Condensed" w:hAnsi="AytoRoquetas Light Condensed"/>
          <w:i/>
          <w:i/>
          <w:iCs/>
          <w:sz w:val="20"/>
          <w:szCs w:val="20"/>
        </w:rPr>
      </w:pPr>
      <w:r>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Pr>
          <w:rFonts w:ascii="AytoRoquetas Light Condensed" w:hAnsi="AytoRoquetas Light Condensed"/>
          <w:i/>
          <w:iCs/>
          <w:spacing w:val="29"/>
          <w:sz w:val="20"/>
          <w:szCs w:val="20"/>
        </w:rPr>
        <w:t xml:space="preserve"> </w:t>
      </w:r>
      <w:r>
        <w:rPr>
          <w:rFonts w:ascii="AytoRoquetas Light Condensed" w:hAnsi="AytoRoquetas Light Condensed"/>
          <w:i/>
          <w:iCs/>
          <w:sz w:val="20"/>
          <w:szCs w:val="20"/>
        </w:rPr>
        <w:t>siguiente:</w:t>
      </w:r>
    </w:p>
    <w:p>
      <w:pPr>
        <w:pStyle w:val="BodyText"/>
        <w:spacing w:lineRule="auto" w:line="288" w:before="0" w:after="0"/>
        <w:ind w:left="567"/>
        <w:contextualSpacing/>
        <w:rPr>
          <w:rFonts w:ascii="AytoRoquetas Light Condensed" w:hAnsi="AytoRoquetas Light Condensed"/>
          <w:i/>
          <w:i/>
          <w:iCs/>
          <w:sz w:val="20"/>
        </w:rPr>
      </w:pPr>
      <w:r>
        <w:rPr>
          <w:rFonts w:ascii="AytoRoquetas Light Condensed" w:hAnsi="AytoRoquetas Light Condensed"/>
          <w:i/>
          <w:iCs/>
          <w:sz w:val="20"/>
        </w:rPr>
      </w:r>
    </w:p>
    <w:p>
      <w:pPr>
        <w:pStyle w:val="BodyText"/>
        <w:spacing w:lineRule="auto" w:line="288" w:before="0" w:after="0"/>
        <w:ind w:left="567"/>
        <w:contextualSpacing/>
        <w:rPr>
          <w:rFonts w:ascii="AytoRoquetas Light Condensed" w:hAnsi="AytoRoquetas Light Condensed"/>
          <w:b w:val="false"/>
          <w:bCs/>
          <w:i/>
          <w:i/>
          <w:iCs/>
          <w:sz w:val="20"/>
        </w:rPr>
      </w:pPr>
      <w:r>
        <w:rPr>
          <w:rFonts w:ascii="AytoRoquetas Light Condensed" w:hAnsi="AytoRoquetas Light Condensed"/>
          <w:b w:val="false"/>
          <w:bCs/>
          <w:i/>
          <w:iCs/>
          <w:sz w:val="20"/>
        </w:rPr>
        <w:t>CUADRO TARIFA</w:t>
      </w:r>
    </w:p>
    <w:tbl>
      <w:tblPr>
        <w:tblStyle w:val="Tablaconcuadrcula"/>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419"/>
        <w:gridCol w:w="2630"/>
        <w:gridCol w:w="2512"/>
      </w:tblGrid>
      <w:tr>
        <w:trPr/>
        <w:tc>
          <w:tcPr>
            <w:tcW w:w="3419" w:type="dxa"/>
            <w:tcBorders/>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r>
          </w:p>
        </w:tc>
        <w:tc>
          <w:tcPr>
            <w:tcW w:w="2630" w:type="dxa"/>
            <w:tcBorders/>
          </w:tcPr>
          <w:p>
            <w:pPr>
              <w:pStyle w:val="Normal"/>
              <w:widowControl/>
              <w:spacing w:lineRule="auto" w:line="288" w:before="0" w:after="200"/>
              <w:contextualSpacing/>
              <w:jc w:val="center"/>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IMPORTE SIN IVA</w:t>
            </w:r>
          </w:p>
        </w:tc>
        <w:tc>
          <w:tcPr>
            <w:tcW w:w="2512" w:type="dxa"/>
            <w:tcBorders/>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r>
          </w:p>
        </w:tc>
      </w:tr>
      <w:tr>
        <w:trPr/>
        <w:tc>
          <w:tcPr>
            <w:tcW w:w="3419" w:type="dxa"/>
            <w:tcBorders/>
          </w:tcPr>
          <w:p>
            <w:pPr>
              <w:pStyle w:val="ListParagraph"/>
              <w:widowControl/>
              <w:numPr>
                <w:ilvl w:val="0"/>
                <w:numId w:val="7"/>
              </w:numPr>
              <w:spacing w:lineRule="auto" w:line="288" w:before="0" w:after="0"/>
              <w:contextualSpacing/>
              <w:rPr>
                <w:rFonts w:ascii="AytoRoquetas Light Condensed" w:hAnsi="AytoRoquetas Light Condensed"/>
                <w:i/>
                <w:i/>
                <w:iCs/>
              </w:rPr>
            </w:pPr>
            <w:r>
              <w:rPr>
                <w:rFonts w:ascii="AytoRoquetas Light Condensed" w:hAnsi="AytoRoquetas Light Condensed"/>
                <w:i/>
                <w:iCs/>
                <w:kern w:val="0"/>
                <w:lang w:val="es-ES" w:eastAsia="es-ES" w:bidi="ar-SA"/>
              </w:rPr>
              <w:t>PARTE FIJA PRODUCCIÓN TERCIARIO</w:t>
            </w:r>
          </w:p>
        </w:tc>
        <w:tc>
          <w:tcPr>
            <w:tcW w:w="2630" w:type="dxa"/>
            <w:tcBorders/>
            <w:vAlign w:val="center"/>
          </w:tcPr>
          <w:p>
            <w:pPr>
              <w:pStyle w:val="Normal"/>
              <w:widowControl/>
              <w:spacing w:lineRule="auto" w:line="288" w:before="0" w:after="200"/>
              <w:contextualSpacing/>
              <w:jc w:val="center"/>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0</w:t>
            </w:r>
          </w:p>
        </w:tc>
        <w:tc>
          <w:tcPr>
            <w:tcW w:w="2512" w:type="dxa"/>
            <w:tcBorders/>
            <w:vAlign w:val="center"/>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Euros/cliente/trimestre</w:t>
            </w:r>
          </w:p>
        </w:tc>
      </w:tr>
      <w:tr>
        <w:trPr/>
        <w:tc>
          <w:tcPr>
            <w:tcW w:w="3419" w:type="dxa"/>
            <w:tcBorders/>
          </w:tcPr>
          <w:p>
            <w:pPr>
              <w:pStyle w:val="ListParagraph"/>
              <w:widowControl/>
              <w:numPr>
                <w:ilvl w:val="0"/>
                <w:numId w:val="7"/>
              </w:numPr>
              <w:spacing w:lineRule="auto" w:line="288" w:before="0" w:after="0"/>
              <w:contextualSpacing/>
              <w:rPr>
                <w:rFonts w:ascii="AytoRoquetas Light Condensed" w:hAnsi="AytoRoquetas Light Condensed"/>
                <w:i/>
                <w:i/>
                <w:iCs/>
              </w:rPr>
            </w:pPr>
            <w:r>
              <w:rPr>
                <w:rFonts w:ascii="AytoRoquetas Light Condensed" w:hAnsi="AytoRoquetas Light Condensed"/>
                <w:i/>
                <w:iCs/>
                <w:kern w:val="0"/>
                <w:lang w:val="es-ES" w:eastAsia="es-ES" w:bidi="ar-SA"/>
              </w:rPr>
              <w:t>PARTE VARIABLE PRODUCCIÓN TERCIARIO</w:t>
            </w:r>
          </w:p>
        </w:tc>
        <w:tc>
          <w:tcPr>
            <w:tcW w:w="2630" w:type="dxa"/>
            <w:tcBorders/>
            <w:vAlign w:val="center"/>
          </w:tcPr>
          <w:p>
            <w:pPr>
              <w:pStyle w:val="Normal"/>
              <w:widowControl/>
              <w:spacing w:lineRule="auto" w:line="288" w:before="0" w:after="200"/>
              <w:contextualSpacing/>
              <w:jc w:val="center"/>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0.1656</w:t>
            </w:r>
          </w:p>
        </w:tc>
        <w:tc>
          <w:tcPr>
            <w:tcW w:w="2512" w:type="dxa"/>
            <w:tcBorders/>
            <w:vAlign w:val="center"/>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Euros/m3</w:t>
            </w:r>
          </w:p>
        </w:tc>
      </w:tr>
      <w:tr>
        <w:trPr/>
        <w:tc>
          <w:tcPr>
            <w:tcW w:w="8561" w:type="dxa"/>
            <w:gridSpan w:val="3"/>
            <w:tcBorders/>
          </w:tcPr>
          <w:p>
            <w:pPr>
              <w:pStyle w:val="Normal"/>
              <w:widowControl/>
              <w:spacing w:lineRule="auto" w:line="288" w:before="0" w:after="200"/>
              <w:contextualSpacing/>
              <w:jc w:val="both"/>
              <w:rPr>
                <w:rFonts w:ascii="AytoRoquetas Light Condensed" w:hAnsi="AytoRoquetas Light Condensed"/>
                <w:i/>
                <w:i/>
                <w:iCs/>
              </w:rPr>
            </w:pPr>
            <w:r>
              <w:rPr>
                <w:rFonts w:eastAsia="Times New Roman" w:ascii="AytoRoquetas Light Condensed" w:hAnsi="AytoRoquetas Light Condensed"/>
                <w:i/>
                <w:iCs/>
                <w:kern w:val="0"/>
                <w:sz w:val="20"/>
                <w:szCs w:val="20"/>
                <w:lang w:val="es-ES" w:eastAsia="es-ES" w:bidi="ar-SA"/>
              </w:rPr>
              <w:t>Esta parte variable se aplicará a los metros cúbicos de agua utilizados en cada vivienda o finca con independencia del caudal vertido</w:t>
            </w:r>
          </w:p>
        </w:tc>
      </w:tr>
    </w:tbl>
    <w:p>
      <w:pPr>
        <w:pStyle w:val="BodyText"/>
        <w:spacing w:lineRule="auto" w:line="288" w:before="0" w:after="0"/>
        <w:contextualSpacing/>
        <w:rPr>
          <w:rFonts w:ascii="AytoRoquetas Light Condensed" w:hAnsi="AytoRoquetas Light Condensed"/>
          <w:i/>
          <w:i/>
          <w:iCs/>
          <w:sz w:val="20"/>
        </w:rPr>
      </w:pPr>
      <w:r>
        <w:rPr>
          <w:rFonts w:ascii="AytoRoquetas Light Condensed" w:hAnsi="AytoRoquetas Light Condensed"/>
          <w:i/>
          <w:iCs/>
          <w:sz w:val="20"/>
        </w:rPr>
      </w:r>
    </w:p>
    <w:p>
      <w:pPr>
        <w:pStyle w:val="BodyText"/>
        <w:spacing w:lineRule="auto" w:line="288" w:before="0" w:after="0"/>
        <w:ind w:left="567" w:right="340"/>
        <w:contextualSpacing/>
        <w:rPr>
          <w:rFonts w:ascii="AytoRoquetas Light Condensed" w:hAnsi="AytoRoquetas Light Condensed"/>
          <w:b w:val="false"/>
          <w:bCs/>
          <w:i/>
          <w:i/>
          <w:iCs/>
          <w:sz w:val="20"/>
        </w:rPr>
      </w:pPr>
      <w:r>
        <w:rPr>
          <w:rFonts w:ascii="AytoRoquetas Light Condensed" w:hAnsi="AytoRoquetas Light Condensed"/>
          <w:b w:val="false"/>
          <w:bCs/>
          <w:i/>
          <w:iCs/>
          <w:sz w:val="20"/>
        </w:rPr>
        <w:t>Esta parte variable se aplicará a los metros cúbicos de agua servidos en el punto de entrega fijado.</w:t>
      </w:r>
    </w:p>
    <w:p>
      <w:pPr>
        <w:pStyle w:val="Normal"/>
        <w:spacing w:lineRule="auto" w:line="288" w:before="0" w:after="200"/>
        <w:ind w:left="567" w:right="34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 xml:space="preserve"> </w:t>
      </w:r>
    </w:p>
    <w:p>
      <w:pPr>
        <w:pStyle w:val="ListParagraph"/>
        <w:spacing w:lineRule="auto" w:line="288" w:before="120" w:after="0"/>
        <w:ind w:left="567" w:right="340"/>
        <w:contextualSpacing/>
        <w:rPr>
          <w:rFonts w:ascii="AytoRoquetas Light Condensed" w:hAnsi="AytoRoquetas Light Condensed"/>
          <w:i/>
          <w:i/>
          <w:iCs/>
          <w:sz w:val="20"/>
          <w:szCs w:val="20"/>
        </w:rPr>
      </w:pPr>
      <w:r>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pPr>
        <w:pStyle w:val="Normal"/>
        <w:spacing w:lineRule="auto" w:line="288" w:before="0" w:after="200"/>
        <w:ind w:left="567" w:right="34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Parte Fija x número vvda equivalente + Parte Variable x m3 x K</w:t>
      </w:r>
    </w:p>
    <w:p>
      <w:pPr>
        <w:pStyle w:val="Normal"/>
        <w:spacing w:lineRule="auto" w:line="288" w:before="0" w:after="200"/>
        <w:ind w:left="567" w:right="34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pPr>
        <w:pStyle w:val="Normal"/>
        <w:spacing w:lineRule="auto" w:line="288" w:before="0" w:after="200"/>
        <w:ind w:left="567" w:right="34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pPr>
        <w:pStyle w:val="Normal"/>
        <w:spacing w:lineRule="auto" w:line="288" w:before="0" w:after="200"/>
        <w:ind w:left="567" w:right="340"/>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pPr>
        <w:pStyle w:val="Normal"/>
        <w:spacing w:lineRule="auto" w:line="288" w:before="0" w:after="200"/>
        <w:contextualSpacing/>
        <w:jc w:val="both"/>
        <w:rPr>
          <w:rFonts w:ascii="AytoRoquetas Light Condensed" w:hAnsi="AytoRoquetas Light Condensed"/>
          <w:b/>
          <w:bCs/>
          <w:sz w:val="20"/>
          <w:szCs w:val="20"/>
        </w:rPr>
      </w:pPr>
      <w:r>
        <w:rPr>
          <w:rFonts w:ascii="AytoRoquetas Light Condensed" w:hAnsi="AytoRoquetas Light Condensed"/>
          <w:b/>
          <w:bCs/>
          <w:sz w:val="20"/>
          <w:szCs w:val="20"/>
        </w:rPr>
      </w:r>
    </w:p>
    <w:p>
      <w:pPr>
        <w:pStyle w:val="Normal"/>
        <w:spacing w:lineRule="auto" w:line="288" w:before="0" w:after="200"/>
        <w:ind w:firstLine="567"/>
        <w:contextualSpacing/>
        <w:jc w:val="both"/>
        <w:rPr>
          <w:rFonts w:ascii="AytoRoquetas Light Condensed" w:hAnsi="AytoRoquetas Light Condensed"/>
          <w:sz w:val="20"/>
          <w:szCs w:val="20"/>
        </w:rPr>
      </w:pPr>
      <w:r>
        <w:rPr>
          <w:rFonts w:ascii="AytoRoquetas Light Condensed" w:hAnsi="AytoRoquetas Light Condensed"/>
          <w:b/>
          <w:bCs/>
          <w:sz w:val="20"/>
          <w:szCs w:val="20"/>
        </w:rPr>
        <w:t>5.</w:t>
      </w:r>
      <w:r>
        <w:rPr>
          <w:rFonts w:ascii="AytoRoquetas Light Condensed" w:hAnsi="AytoRoquetas Light Condensed"/>
          <w:sz w:val="20"/>
          <w:szCs w:val="20"/>
        </w:rPr>
        <w:t xml:space="preserve"> En la sesión celebrada por la Junta General del Consorcio (Acta 42/2020) el </w:t>
      </w:r>
      <w:r>
        <w:rPr>
          <w:rFonts w:ascii="AytoRoquetas Light Condensed" w:hAnsi="AytoRoquetas Light Condensed"/>
          <w:b/>
          <w:bCs/>
          <w:sz w:val="20"/>
          <w:szCs w:val="20"/>
        </w:rPr>
        <w:t>30 de noviembre de 2020</w:t>
      </w:r>
      <w:r>
        <w:rPr>
          <w:rFonts w:ascii="AytoRoquetas Light Condensed" w:hAnsi="AytoRoquetas Light Condensed"/>
          <w:sz w:val="20"/>
          <w:szCs w:val="20"/>
        </w:rPr>
        <w:t xml:space="preserve"> se dispuso entre otros el siguiente Acuerdo:</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t>“</w:t>
      </w:r>
      <w:r>
        <w:rPr>
          <w:rFonts w:ascii="AytoRoquetas Light Condensed" w:hAnsi="AytoRoquetas Light Condensed"/>
          <w:b/>
          <w:bCs/>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t>Resultando aprobado el coste del servicio en los términos siguientes para la EDAR de Roquetas de Mar</w:t>
      </w:r>
    </w:p>
    <w:p>
      <w:pPr>
        <w:pStyle w:val="Normal"/>
        <w:spacing w:lineRule="auto" w:line="288" w:before="0" w:after="200"/>
        <w:contextualSpacing/>
        <w:jc w:val="both"/>
        <w:rPr>
          <w:rFonts w:ascii="AytoRoquetas Light Condensed" w:hAnsi="AytoRoquetas Light Condensed"/>
          <w:sz w:val="20"/>
          <w:szCs w:val="20"/>
        </w:rPr>
      </w:pPr>
      <w:r>
        <w:rPr/>
        <w:drawing>
          <wp:inline distT="0" distB="0" distL="0" distR="0">
            <wp:extent cx="5081270" cy="3575685"/>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2"/>
                    <a:stretch>
                      <a:fillRect/>
                    </a:stretch>
                  </pic:blipFill>
                  <pic:spPr bwMode="auto">
                    <a:xfrm>
                      <a:off x="0" y="0"/>
                      <a:ext cx="5081270" cy="3575685"/>
                    </a:xfrm>
                    <a:prstGeom prst="rect">
                      <a:avLst/>
                    </a:prstGeom>
                  </pic:spPr>
                </pic:pic>
              </a:graphicData>
            </a:graphic>
          </wp:inline>
        </w:drawing>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8"/>
        <w:contextualSpacing/>
        <w:jc w:val="both"/>
        <w:rPr>
          <w:rFonts w:ascii="AytoRoquetas Light Condensed" w:hAnsi="AytoRoquetas Light Condensed"/>
          <w:b/>
          <w:bCs/>
          <w:sz w:val="20"/>
          <w:szCs w:val="20"/>
        </w:rPr>
      </w:pPr>
      <w:r>
        <w:rPr>
          <w:rFonts w:ascii="AytoRoquetas Light Condensed" w:hAnsi="AytoRoquetas Light Condensed"/>
          <w:sz w:val="20"/>
          <w:szCs w:val="20"/>
        </w:rPr>
        <w:t xml:space="preserve">Por lo que, </w:t>
      </w:r>
      <w:r>
        <w:rPr>
          <w:rFonts w:ascii="AytoRoquetas Light Condensed" w:hAnsi="AytoRoquetas Light Condensed"/>
          <w:b/>
          <w:bCs/>
          <w:sz w:val="20"/>
          <w:szCs w:val="20"/>
        </w:rPr>
        <w:t>el ultimo coste de servicio aprobado para la EDAR de El Ejido es el correspondiente al ejercicio 2018 poniendo de manifiesto un Coste Total de Explotación por importe de 2.083.812,50€.</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b/>
          <w:bCs/>
          <w:sz w:val="20"/>
          <w:szCs w:val="20"/>
        </w:rPr>
        <w:t>6</w:t>
      </w:r>
      <w:r>
        <w:rPr>
          <w:rFonts w:ascii="AytoRoquetas Light Condensed" w:hAnsi="AytoRoquetas Light Condensed"/>
          <w:sz w:val="20"/>
          <w:szCs w:val="20"/>
        </w:rPr>
        <w:t xml:space="preserve">. El 5 de agosto de 2021 se publicó en el BOP nº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b/>
          <w:bCs/>
          <w:sz w:val="20"/>
          <w:szCs w:val="20"/>
        </w:rPr>
        <w:t>7</w:t>
      </w:r>
      <w:r>
        <w:rPr>
          <w:rFonts w:ascii="AytoRoquetas Light Condensed" w:hAnsi="AytoRoquetas Light Condensed"/>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8"/>
        <w:contextualSpacing/>
        <w:jc w:val="both"/>
        <w:rPr>
          <w:rFonts w:ascii="AytoRoquetas Light Condensed" w:hAnsi="AytoRoquetas Light Condensed"/>
          <w:sz w:val="20"/>
          <w:szCs w:val="20"/>
        </w:rPr>
      </w:pPr>
      <w:r>
        <w:rPr>
          <w:rFonts w:ascii="AytoRoquetas Light Condensed" w:hAnsi="AytoRoquetas Light Condensed"/>
          <w:sz w:val="20"/>
          <w:szCs w:val="20"/>
        </w:rPr>
        <w:t>A los antecedentes descritos resultan de aplicación los siguientes</w:t>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 xml:space="preserve">8. </w:t>
      </w:r>
      <w:r>
        <w:rPr>
          <w:rFonts w:ascii="AytoRoquetas Light Condensed" w:hAnsi="AytoRoquetas Light Condensed"/>
          <w:sz w:val="20"/>
          <w:szCs w:val="20"/>
        </w:rPr>
        <w:t>Consta en el expediente informe del técnico adscrito al Consorcio de fecha 31 de octubre de 2023, notificado a UTE DEPURACION PONIENTE ALMERIENSE SA, en trámite de audiencia, el 11 de noviembre de 2023 (RS nº 134 de 31 de octubre) en el que se propone:</w:t>
      </w:r>
    </w:p>
    <w:p>
      <w:pPr>
        <w:pStyle w:val="Normal"/>
        <w:spacing w:before="0" w:after="200"/>
        <w:ind w:left="709" w:right="70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pPr>
        <w:pStyle w:val="Normal"/>
        <w:spacing w:before="0" w:after="200"/>
        <w:ind w:left="709" w:right="707"/>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t>2º. Desestimar la revisión de las tarifas pretendida por UTE DEPURACIÓN PONIENTE ALMERIENSE SA al no existir motivo que la justifique.</w:t>
      </w:r>
    </w:p>
    <w:p>
      <w:pPr>
        <w:pStyle w:val="Normal"/>
        <w:spacing w:before="0" w:after="200"/>
        <w:ind w:left="709" w:right="707"/>
        <w:contextualSpacing/>
        <w:jc w:val="both"/>
        <w:rPr>
          <w:rFonts w:ascii="AytoRoquetas Light Condensed" w:hAnsi="AytoRoquetas Light Condensed"/>
          <w:sz w:val="20"/>
          <w:szCs w:val="20"/>
        </w:rPr>
      </w:pPr>
      <w:r>
        <w:rPr>
          <w:rFonts w:ascii="AytoRoquetas Light Condensed" w:hAnsi="AytoRoquetas Light Condensed"/>
          <w:i/>
          <w:iCs/>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pPr>
        <w:pStyle w:val="Normal"/>
        <w:spacing w:lineRule="auto" w:line="288" w:before="0" w:after="200"/>
        <w:ind w:firstLine="709"/>
        <w:contextualSpacing/>
        <w:jc w:val="both"/>
        <w:rPr>
          <w:rFonts w:ascii="AytoRoquetas Light Condensed" w:hAnsi="AytoRoquetas Light Condensed"/>
          <w:b/>
          <w:bCs/>
          <w:sz w:val="20"/>
          <w:szCs w:val="20"/>
        </w:rPr>
      </w:pPr>
      <w:r>
        <w:rPr>
          <w:rFonts w:ascii="AytoRoquetas Light Condensed" w:hAnsi="AytoRoquetas Light Condensed"/>
          <w:b/>
          <w:bCs/>
          <w:sz w:val="20"/>
          <w:szCs w:val="20"/>
        </w:rPr>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9.</w:t>
      </w:r>
      <w:r>
        <w:rPr>
          <w:rFonts w:ascii="AytoRoquetas Light Condensed" w:hAnsi="AytoRoquetas Light Condensed"/>
          <w:sz w:val="20"/>
          <w:szCs w:val="20"/>
        </w:rPr>
        <w:t xml:space="preserve"> UTE DEPURACION PONIENTE ALMERIENSE SA no ha presentado alegaciones ni ha aportado otros documentos al expediente.</w:t>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sz w:val="20"/>
          <w:szCs w:val="20"/>
        </w:rPr>
        <w:t xml:space="preserve">A los antecedentes descritos resultan de aplicación los siguientes </w:t>
      </w:r>
    </w:p>
    <w:p>
      <w:pPr>
        <w:pStyle w:val="Normal"/>
        <w:spacing w:lineRule="auto" w:line="288" w:before="0" w:after="200"/>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contextualSpacing/>
        <w:rPr>
          <w:rFonts w:ascii="AytoRoquetas Light Condensed" w:hAnsi="AytoRoquetas Light Condensed"/>
          <w:sz w:val="20"/>
          <w:szCs w:val="20"/>
        </w:rPr>
      </w:pPr>
      <w:r>
        <w:rPr>
          <w:rFonts w:ascii="AytoRoquetas Light Condensed" w:hAnsi="AytoRoquetas Light Condensed"/>
          <w:sz w:val="20"/>
          <w:szCs w:val="20"/>
        </w:rPr>
        <w:t>II. FUNDAMENTOS DE DERECHO</w:t>
      </w:r>
    </w:p>
    <w:p>
      <w:pPr>
        <w:pStyle w:val="Normal"/>
        <w:spacing w:lineRule="auto" w:line="288" w:before="0" w:after="200"/>
        <w:ind w:firstLine="709"/>
        <w:contextualSpacing/>
        <w:jc w:val="both"/>
        <w:rPr>
          <w:rFonts w:ascii="AytoRoquetas Light Condensed" w:hAnsi="AytoRoquetas Light Condensed"/>
          <w:i/>
          <w:i/>
          <w:iCs/>
          <w:sz w:val="20"/>
          <w:szCs w:val="20"/>
        </w:rPr>
      </w:pPr>
      <w:r>
        <w:rPr>
          <w:rFonts w:ascii="AytoRoquetas Light Condensed" w:hAnsi="AytoRoquetas Light Condensed"/>
          <w:i/>
          <w:iCs/>
          <w:sz w:val="20"/>
          <w:szCs w:val="20"/>
        </w:rPr>
      </w:r>
    </w:p>
    <w:p>
      <w:pPr>
        <w:pStyle w:val="Normal"/>
        <w:spacing w:lineRule="auto" w:line="288" w:before="0" w:after="200"/>
        <w:ind w:firstLine="708"/>
        <w:contextualSpacing/>
        <w:jc w:val="both"/>
        <w:rPr>
          <w:rFonts w:ascii="AytoRoquetas Light Condensed" w:hAnsi="AytoRoquetas Light Condensed" w:cs="Tahoma"/>
          <w:b/>
          <w:bCs/>
          <w:i/>
          <w:i/>
          <w:iCs/>
          <w:kern w:val="2"/>
          <w:sz w:val="20"/>
          <w:szCs w:val="20"/>
          <w:lang w:eastAsia="zh-CN" w:bidi="hi-IN"/>
        </w:rPr>
      </w:pPr>
      <w:r>
        <w:rPr>
          <w:rFonts w:cs="Tahoma" w:ascii="AytoRoquetas Light Condensed" w:hAnsi="AytoRoquetas Light Condensed"/>
          <w:b/>
          <w:bCs/>
          <w:i/>
          <w:iCs/>
          <w:kern w:val="2"/>
          <w:sz w:val="20"/>
          <w:szCs w:val="20"/>
          <w:lang w:eastAsia="zh-CN" w:bidi="hi-IN"/>
        </w:rPr>
        <w:t>1. Marco Jurídico Regulador.</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w:t>
      </w:r>
      <w:r>
        <w:rPr>
          <w:rFonts w:cs="Tahoma" w:ascii="AytoRoquetas Light Condensed" w:hAnsi="AytoRoquetas Light Condensed"/>
          <w:i/>
          <w:iCs/>
          <w:kern w:val="2"/>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En el caso que nos ocupa dado que el contrato se adjudicó en fecha 21 de mayo de 2002 la normativa de aplicación al mismo es la que se detalla en la Cláusula 1 apartado 9º de las que componen el Pliego de Clausulas Administrativas Particulares del presente contrato de concesión de servicio, sin perjuicio de la sucesión de normas de carácter administrativo, esto es:</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-Pliego de Cláusulas Administrativas Particulares.</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-Pliego de Prescripciones Técnicas Particulares.</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-Texto Refundido de la Ley de Contratos de las Administraciones Publicas, aprobado por Real Decreto Legislativo 2/2000 de 16 de junio (TRLCAP)</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-Ley 7/1985 de 02 de abril reguladora de las Bases del Régimen Local</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-Real Decreto Legislativo 781/1986, de 18 de abril, por el que se aprueba el texto refundido de las disposiciones legales vigentes en materia de Régimen Local.</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-Reglamento de Servicios de las Corporaciones Locales, aprobado por Decreto de fecha 17 de junio de 1955</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-Normativa pública de naturaleza ambiental aplicable al régimen de aguas, depuración y vertido al DPH y DPMT</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-Ordenanza de Prestación Patrimonial de carácter publico no tributaria por el Servicio de Depuración de Aguas residuales del Consorcio.</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b/>
          <w:bCs/>
          <w:i/>
          <w:iCs/>
          <w:kern w:val="2"/>
          <w:sz w:val="20"/>
          <w:szCs w:val="20"/>
          <w:lang w:eastAsia="zh-CN" w:bidi="hi-IN"/>
        </w:rPr>
        <w:t>2</w:t>
      </w:r>
      <w:r>
        <w:rPr>
          <w:rFonts w:cs="Tahoma" w:ascii="AytoRoquetas Light Condensed" w:hAnsi="AytoRoquetas Light Condensed"/>
          <w:i/>
          <w:iCs/>
          <w:kern w:val="2"/>
          <w:sz w:val="20"/>
          <w:szCs w:val="20"/>
          <w:lang w:eastAsia="zh-CN" w:bidi="hi-IN"/>
        </w:rPr>
        <w:t>.</w:t>
      </w:r>
      <w:r>
        <w:rPr>
          <w:rFonts w:cs="Tahoma" w:ascii="AytoRoquetas Light Condensed" w:hAnsi="AytoRoquetas Light Condensed"/>
          <w:b/>
          <w:bCs/>
          <w:i/>
          <w:iCs/>
          <w:kern w:val="2"/>
          <w:sz w:val="20"/>
          <w:szCs w:val="20"/>
          <w:lang w:eastAsia="zh-CN" w:bidi="hi-IN"/>
        </w:rPr>
        <w:t xml:space="preserve"> Revisión de Precios Ordinaria</w:t>
      </w:r>
      <w:r>
        <w:rPr>
          <w:rFonts w:cs="Tahoma" w:ascii="AytoRoquetas Light Condensed" w:hAnsi="AytoRoquetas Light Condensed"/>
          <w:i/>
          <w:iCs/>
          <w:kern w:val="2"/>
          <w:sz w:val="20"/>
          <w:szCs w:val="20"/>
          <w:lang w:eastAsia="zh-CN" w:bidi="hi-IN"/>
        </w:rPr>
        <w:t xml:space="preserve">. </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Añadiendo el art. 104 del mismo cuerpo normativo en relación al sistema de revisión de precios lo siguiente: “1. La revisión de precios se llevará a cabo mediante los índices o fórmulas de carácter oficial que determine el órgano de contratación. […] 3. El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Tratándose de un procedimiento negociado, la fecha que ha de tenerse en cuenta para la revisión de precios es la de la adjudicación, esto es, el 21 de mayo de 2002.</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Por su parte, la cláusula 12.1 del PPT establece que “La revisión ordinaria de los costes del Servicio se realizará anualmente de acuerdo con la descomposición de precios que el adjudicatario haya ofertado según el desglose indicado en el apartado 3-Resumen, del Anexo nº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pPr>
        <w:pStyle w:val="Normal"/>
        <w:spacing w:lineRule="auto" w:line="288" w:before="0" w:after="200"/>
        <w:contextualSpacing/>
        <w:jc w:val="both"/>
        <w:rPr>
          <w:rFonts w:ascii="AytoRoquetas Light Condensed" w:hAnsi="AytoRoquetas Light Condensed" w:cs="Tahoma"/>
          <w:b/>
          <w:bCs/>
          <w:i/>
          <w:i/>
          <w:iCs/>
          <w:kern w:val="2"/>
          <w:sz w:val="20"/>
          <w:szCs w:val="20"/>
          <w:lang w:eastAsia="zh-CN" w:bidi="hi-IN"/>
        </w:rPr>
      </w:pPr>
      <w:r>
        <w:rPr>
          <w:rFonts w:cs="Tahoma" w:ascii="AytoRoquetas Light Condensed" w:hAnsi="AytoRoquetas Light Condensed"/>
          <w:b/>
          <w:bCs/>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b/>
          <w:bCs/>
          <w:i/>
          <w:iCs/>
          <w:kern w:val="2"/>
          <w:sz w:val="20"/>
          <w:szCs w:val="20"/>
          <w:lang w:eastAsia="zh-CN" w:bidi="hi-IN"/>
        </w:rPr>
        <w:t>3</w:t>
      </w:r>
      <w:r>
        <w:rPr>
          <w:rFonts w:cs="Tahoma" w:ascii="AytoRoquetas Light Condensed" w:hAnsi="AytoRoquetas Light Condensed"/>
          <w:i/>
          <w:iCs/>
          <w:kern w:val="2"/>
          <w:sz w:val="20"/>
          <w:szCs w:val="20"/>
          <w:lang w:eastAsia="zh-CN" w:bidi="hi-IN"/>
        </w:rPr>
        <w:t xml:space="preserve">.  </w:t>
      </w:r>
      <w:r>
        <w:rPr>
          <w:rFonts w:cs="Tahoma" w:ascii="AytoRoquetas Light Condensed" w:hAnsi="AytoRoquetas Light Condensed"/>
          <w:b/>
          <w:bCs/>
          <w:i/>
          <w:iCs/>
          <w:kern w:val="2"/>
          <w:sz w:val="20"/>
          <w:szCs w:val="20"/>
          <w:lang w:eastAsia="zh-CN" w:bidi="hi-IN"/>
        </w:rPr>
        <w:t>Revisión de tarifas</w:t>
      </w:r>
      <w:r>
        <w:rPr>
          <w:rFonts w:cs="Tahoma" w:ascii="AytoRoquetas Light Condensed" w:hAnsi="AytoRoquetas Light Condensed"/>
          <w:i/>
          <w:iCs/>
          <w:kern w:val="2"/>
          <w:sz w:val="20"/>
          <w:szCs w:val="20"/>
          <w:lang w:eastAsia="zh-CN" w:bidi="hi-IN"/>
        </w:rPr>
        <w:t>.</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Pr>
          <w:rFonts w:cs="Tahoma" w:ascii="AytoRoquetas Light Condensed" w:hAnsi="AytoRoquetas Light Condensed"/>
          <w:i/>
          <w:iCs/>
          <w:kern w:val="2"/>
          <w:sz w:val="20"/>
          <w:szCs w:val="20"/>
          <w:u w:val="single"/>
          <w:lang w:eastAsia="zh-CN" w:bidi="hi-IN"/>
        </w:rPr>
        <w:t>cuando proceda</w:t>
      </w:r>
      <w:r>
        <w:rPr>
          <w:rFonts w:cs="Tahoma" w:ascii="AytoRoquetas Light Condensed" w:hAnsi="AytoRoquetas Light Condensed"/>
          <w:i/>
          <w:iCs/>
          <w:kern w:val="2"/>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pPr>
        <w:pStyle w:val="Normal"/>
        <w:spacing w:lineRule="auto" w:line="288" w:before="0" w:after="200"/>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r>
    </w:p>
    <w:p>
      <w:pPr>
        <w:pStyle w:val="Normal"/>
        <w:spacing w:lineRule="auto" w:line="288" w:before="0" w:after="200"/>
        <w:ind w:firstLine="708"/>
        <w:contextualSpacing/>
        <w:jc w:val="both"/>
        <w:rPr>
          <w:rFonts w:ascii="AytoRoquetas Light Condensed" w:hAnsi="AytoRoquetas Light Condensed" w:cs="Tahoma"/>
          <w:i/>
          <w:i/>
          <w:iCs/>
          <w:kern w:val="2"/>
          <w:sz w:val="20"/>
          <w:szCs w:val="20"/>
          <w:lang w:eastAsia="zh-CN" w:bidi="hi-IN"/>
        </w:rPr>
      </w:pPr>
      <w:r>
        <w:rPr>
          <w:rFonts w:cs="Tahoma" w:ascii="AytoRoquetas Light Condensed" w:hAnsi="AytoRoquetas Light Condensed"/>
          <w:i/>
          <w:iCs/>
          <w:kern w:val="2"/>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9"/>
        <w:contextualSpacing/>
        <w:jc w:val="both"/>
        <w:rPr>
          <w:rFonts w:ascii="AytoRoquetas Light Condensed" w:hAnsi="AytoRoquetas Light Condensed"/>
          <w:b/>
          <w:bCs/>
          <w:sz w:val="20"/>
          <w:szCs w:val="20"/>
        </w:rPr>
      </w:pPr>
      <w:r>
        <w:rPr>
          <w:rFonts w:ascii="AytoRoquetas Light Condensed" w:hAnsi="AytoRoquetas Light Condensed"/>
          <w:sz w:val="20"/>
          <w:szCs w:val="20"/>
        </w:rPr>
        <w:t xml:space="preserve">Por cuanto antecede y de conformidad con lo establecido en el artículo 11 de los Estatutos del CIAP (BOJA número 27 de 7 de febrero de 2013), el Presidente del Consorcio de Gestión de los Servicios Integrados de Abastecimiento de Aguas y Saneamiento del Poniente Almeriense eleva a la Junta General la siguiente </w:t>
      </w:r>
      <w:r>
        <w:rPr>
          <w:rFonts w:ascii="AytoRoquetas Light Condensed" w:hAnsi="AytoRoquetas Light Condensed"/>
          <w:b/>
          <w:bCs/>
          <w:sz w:val="20"/>
          <w:szCs w:val="20"/>
        </w:rPr>
        <w:t>PROPUESTA DE ACUERDO:</w:t>
      </w:r>
    </w:p>
    <w:p>
      <w:pPr>
        <w:pStyle w:val="Normal"/>
        <w:spacing w:lineRule="auto" w:line="288" w:before="0" w:after="200"/>
        <w:ind w:firstLine="709"/>
        <w:contextualSpacing/>
        <w:jc w:val="both"/>
        <w:rPr>
          <w:rFonts w:ascii="AytoRoquetas Light Condensed" w:hAnsi="AytoRoquetas Light Condensed"/>
          <w:b/>
          <w:bCs/>
          <w:color w:val="FF0000"/>
          <w:sz w:val="20"/>
          <w:szCs w:val="20"/>
        </w:rPr>
      </w:pPr>
      <w:r>
        <w:rPr>
          <w:rFonts w:ascii="AytoRoquetas Light Condensed" w:hAnsi="AytoRoquetas Light Condensed"/>
          <w:b/>
          <w:bCs/>
          <w:color w:val="FF0000"/>
          <w:sz w:val="20"/>
          <w:szCs w:val="20"/>
        </w:rPr>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1º.</w:t>
      </w:r>
      <w:r>
        <w:rPr>
          <w:rFonts w:ascii="AytoRoquetas Light Condensed" w:hAnsi="AytoRoquetas Light Condensed"/>
          <w:sz w:val="20"/>
          <w:szCs w:val="20"/>
        </w:rPr>
        <w:t xml:space="preserve"> Admitir la solicitud de revisión de precio ordinaria formulada con referencia al incremento del IPC para el periodo mayo de 2018 a mayo de 2023, lo que supone un incremento del15,1% según lo establecido en el artículo 12 del Pliego de Prescripciones Técnicas.</w:t>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2º.</w:t>
      </w:r>
      <w:r>
        <w:rPr>
          <w:rFonts w:ascii="AytoRoquetas Light Condensed" w:hAnsi="AytoRoquetas Light Condensed"/>
          <w:sz w:val="20"/>
          <w:szCs w:val="20"/>
        </w:rPr>
        <w:t xml:space="preserve"> Desestimar la revisión de las tarifas pretendida por UTE DEPURACIÓN PONIENTE ALMERIENSE SA al no existir motivo que la justifique.</w:t>
      </w:r>
    </w:p>
    <w:p>
      <w:pPr>
        <w:pStyle w:val="Normal"/>
        <w:spacing w:lineRule="auto" w:line="288" w:before="0" w:after="200"/>
        <w:ind w:firstLine="709"/>
        <w:contextualSpacing/>
        <w:jc w:val="both"/>
        <w:rPr>
          <w:rFonts w:ascii="AytoRoquetas Light Condensed" w:hAnsi="AytoRoquetas Light Condensed"/>
          <w:sz w:val="20"/>
          <w:szCs w:val="20"/>
        </w:rPr>
      </w:pPr>
      <w:r>
        <w:rPr>
          <w:rFonts w:ascii="AytoRoquetas Light Condensed" w:hAnsi="AytoRoquetas Light Condensed"/>
          <w:sz w:val="20"/>
          <w:szCs w:val="20"/>
        </w:rPr>
      </w:r>
    </w:p>
    <w:p>
      <w:pPr>
        <w:pStyle w:val="Normal"/>
        <w:spacing w:lineRule="auto" w:line="288" w:before="0" w:after="200"/>
        <w:ind w:firstLine="709"/>
        <w:contextualSpacing/>
        <w:jc w:val="both"/>
        <w:rPr>
          <w:rFonts w:ascii="AytoRoquetas Light Condensed" w:hAnsi="AytoRoquetas Light Condensed"/>
          <w:b/>
          <w:bCs/>
        </w:rPr>
      </w:pPr>
      <w:r>
        <w:rPr>
          <w:rFonts w:ascii="AytoRoquetas Light Condensed" w:hAnsi="AytoRoquetas Light Condensed"/>
          <w:b/>
          <w:bCs/>
          <w:sz w:val="20"/>
          <w:szCs w:val="20"/>
        </w:rPr>
        <w:t xml:space="preserve">3º. </w:t>
      </w:r>
      <w:r>
        <w:rPr>
          <w:rFonts w:ascii="AytoRoquetas Light Condensed" w:hAnsi="AytoRoquetas Light Condensed"/>
          <w:sz w:val="20"/>
          <w:szCs w:val="20"/>
        </w:rPr>
        <w:t>Notificar el presente acuerdo a UTE DEPURACIÓN PONIENTE ALMERIENSE SA, haciéndole saber de los medios de impugnación de los que dispone, así como de las circunstancias de tiempo, lugar y forma en que puede hacerlos valer.</w:t>
      </w:r>
      <w:r>
        <w:rPr>
          <w:rFonts w:ascii="AytoRoquetas Light Condensed" w:hAnsi="AytoRoquetas Light Condensed"/>
          <w:b/>
          <w:bCs/>
        </w:rPr>
        <w:t>”</w:t>
      </w:r>
    </w:p>
    <w:p>
      <w:pPr>
        <w:pStyle w:val="BodyText"/>
        <w:spacing w:lineRule="auto" w:line="288" w:before="0" w:after="0"/>
        <w:contextualSpacing/>
        <w:rPr>
          <w:rFonts w:ascii="AytoRoquetas Light Condensed" w:hAnsi="AytoRoquetas Light Condensed"/>
          <w:b w:val="false"/>
          <w:bCs/>
          <w:sz w:val="22"/>
          <w:lang w:val="es-ES"/>
        </w:rPr>
      </w:pPr>
      <w:r>
        <w:rPr>
          <w:rFonts w:ascii="AytoRoquetas Light Condensed" w:hAnsi="AytoRoquetas Light Condensed"/>
          <w:b w:val="false"/>
          <w:bCs/>
          <w:sz w:val="22"/>
          <w:lang w:val="es-ES"/>
        </w:rPr>
      </w:r>
    </w:p>
    <w:p>
      <w:pPr>
        <w:pStyle w:val="Default"/>
        <w:spacing w:lineRule="auto" w:line="288" w:before="0" w:after="0"/>
        <w:ind w:firstLine="1134"/>
        <w:contextualSpacing/>
        <w:jc w:val="both"/>
        <w:rPr>
          <w:rFonts w:eastAsia="Georgia" w:cs="Georgia"/>
          <w:sz w:val="22"/>
          <w:szCs w:val="22"/>
          <w:lang w:val="es-ES_tradnl"/>
        </w:rPr>
      </w:pPr>
      <w:r>
        <w:rPr>
          <w:rFonts w:eastAsia="Georgia" w:cs="Georgia"/>
          <w:sz w:val="22"/>
          <w:szCs w:val="22"/>
          <w:lang w:val="es-ES_tradnl"/>
        </w:rPr>
        <w:t xml:space="preserve">La JUNTA GENERAL ha resuelto aprobar la proposición en todos sus términos. </w:t>
      </w:r>
    </w:p>
    <w:p>
      <w:pPr>
        <w:pStyle w:val="BodyText"/>
        <w:spacing w:lineRule="auto" w:line="288" w:before="0" w:after="0"/>
        <w:contextualSpacing/>
        <w:rPr>
          <w:rFonts w:ascii="AytoRoquetas Light Condensed" w:hAnsi="AytoRoquetas Light Condensed"/>
          <w:b w:val="false"/>
          <w:bCs/>
          <w:sz w:val="22"/>
          <w:lang w:val="es-ES"/>
        </w:rPr>
      </w:pPr>
      <w:r>
        <w:rPr>
          <w:rFonts w:ascii="AytoRoquetas Light Condensed" w:hAnsi="AytoRoquetas Light Condensed"/>
          <w:b w:val="false"/>
          <w:bCs/>
          <w:sz w:val="22"/>
          <w:lang w:val="es-ES"/>
        </w:rPr>
      </w:r>
    </w:p>
    <w:p>
      <w:pPr>
        <w:pStyle w:val="Default"/>
        <w:spacing w:lineRule="auto" w:line="288" w:before="0" w:after="0"/>
        <w:ind w:firstLine="1134"/>
        <w:contextualSpacing/>
        <w:jc w:val="both"/>
        <w:rPr>
          <w:b/>
          <w:bCs/>
          <w:sz w:val="22"/>
          <w:szCs w:val="22"/>
        </w:rPr>
      </w:pPr>
      <w:r>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pPr>
        <w:pStyle w:val="Normal"/>
        <w:spacing w:lineRule="auto" w:line="288" w:before="0" w:after="0"/>
        <w:contextualSpacing/>
        <w:jc w:val="both"/>
        <w:rPr>
          <w:rFonts w:ascii="AytoRoquetas Light Condensed" w:hAnsi="AytoRoquetas Light Condensed"/>
          <w:szCs w:val="20"/>
        </w:rPr>
      </w:pPr>
      <w:r>
        <w:rPr>
          <w:rFonts w:ascii="AytoRoquetas Light Condensed" w:hAnsi="AytoRoquetas Light Condensed"/>
          <w:szCs w:val="20"/>
        </w:rPr>
      </w:r>
    </w:p>
    <w:p>
      <w:pPr>
        <w:pStyle w:val="Normal"/>
        <w:spacing w:lineRule="auto" w:line="240" w:before="0" w:after="0"/>
        <w:contextualSpacing/>
        <w:jc w:val="both"/>
        <w:rPr>
          <w:rFonts w:ascii="AytoRoquetas Light Condensed" w:hAnsi="AytoRoquetas Light Condensed"/>
          <w:i/>
          <w:i/>
          <w:iCs/>
          <w:szCs w:val="20"/>
        </w:rPr>
      </w:pPr>
      <w:r>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headerReference w:type="default" r:id="rId3"/>
      <w:footerReference w:type="default" r:id="rId4"/>
      <w:type w:val="nextPage"/>
      <w:pgSz w:w="11906" w:h="16838"/>
      <w:pgMar w:left="1814" w:right="1531" w:gutter="0" w:header="709" w:top="3119" w:footer="720" w:bottom="1701"/>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Tahoma">
    <w:charset w:val="01"/>
    <w:family w:val="auto"/>
    <w:pitch w:val="default"/>
  </w:font>
  <w:font w:name="Times New Roman">
    <w:charset w:val="01"/>
    <w:family w:val="auto"/>
    <w:pitch w:val="default"/>
  </w:font>
  <w:font w:name="AytoRoquetas Light Condensed">
    <w:charset w:val="01"/>
    <w:family w:val="auto"/>
    <w:pitch w:val="default"/>
  </w:font>
  <w:font w:name="Arial">
    <w:charset w:val="01"/>
    <w:family w:val="auto"/>
    <w:pitch w:val="default"/>
  </w:font>
  <w:font w:name="Book Antiqua Bold">
    <w:charset w:val="01"/>
    <w:family w:val="auto"/>
    <w:pitch w:val="default"/>
  </w:font>
  <w:font w:name="Verdana">
    <w:charset w:val="01"/>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tabs>
        <w:tab w:val="clear" w:pos="1134"/>
        <w:tab w:val="left" w:pos="7800" w:leader="none"/>
      </w:tabs>
      <w:spacing w:lineRule="atLeast" w:line="240" w:before="0" w:after="0"/>
      <w:rPr>
        <w:rFonts w:ascii="Verdana" w:hAnsi="Verdana" w:cs="Verdana"/>
        <w:sz w:val="16"/>
        <w:szCs w:val="16"/>
      </w:rPr>
    </w:pPr>
    <w:r>
      <w:rPr>
        <w:rFonts w:cs="Verdana" w:ascii="Verdana" w:hAnsi="Verdana"/>
        <w:sz w:val="16"/>
        <w:szCs w:val="16"/>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cabezado6"/>
      <w:tabs>
        <w:tab w:val="left" w:pos="3281" w:leader="none"/>
        <w:tab w:val="center" w:pos="4252" w:leader="none"/>
        <w:tab w:val="right" w:pos="8391" w:leader="none"/>
        <w:tab w:val="right" w:pos="8504" w:leader="none"/>
      </w:tabs>
      <w:spacing w:lineRule="atLeast" w:line="240" w:before="0" w:after="0"/>
      <w:rPr>
        <w:rFonts w:ascii="Times New Roman" w:hAnsi="Times New Roman" w:cs="Times New Roman"/>
        <w:sz w:val="16"/>
        <w:szCs w:val="16"/>
      </w:rPr>
    </w:pPr>
    <w:r>
      <mc:AlternateContent>
        <mc:Choice Requires="wps">
          <w:drawing>
            <wp:anchor behindDoc="1" distT="0" distB="0" distL="0" distR="0" simplePos="0" locked="0" layoutInCell="0" allowOverlap="1" relativeHeight="25" wp14:anchorId="71B56AFC">
              <wp:simplePos x="0" y="0"/>
              <wp:positionH relativeFrom="column">
                <wp:posOffset>-431800</wp:posOffset>
              </wp:positionH>
              <wp:positionV relativeFrom="paragraph">
                <wp:posOffset>635</wp:posOffset>
              </wp:positionV>
              <wp:extent cx="1828800" cy="687705"/>
              <wp:effectExtent l="0" t="0" r="0" b="0"/>
              <wp:wrapSquare wrapText="bothSides"/>
              <wp:docPr id="2" name="Cuadro de texto 2"/>
              <a:graphic xmlns:a="http://schemas.openxmlformats.org/drawingml/2006/main">
                <a:graphicData uri="http://schemas.microsoft.com/office/word/2010/wordprocessingShape">
                  <wps:wsp>
                    <wps:cNvSpPr/>
                    <wps:spPr>
                      <a:xfrm>
                        <a:off x="0" y="0"/>
                        <a:ext cx="1828800" cy="687600"/>
                      </a:xfrm>
                      <a:prstGeom prst="rect">
                        <a:avLst/>
                      </a:prstGeom>
                      <a:solidFill>
                        <a:srgbClr val="ffffff"/>
                      </a:solidFill>
                      <a:ln w="0">
                        <a:noFill/>
                      </a:ln>
                    </wps:spPr>
                    <wps:style>
                      <a:lnRef idx="0"/>
                      <a:fillRef idx="0"/>
                      <a:effectRef idx="0"/>
                      <a:fontRef idx="minor"/>
                    </wps:style>
                    <wps:txbx>
                      <w:txbxContent>
                        <w:p>
                          <w:pPr>
                            <w:pStyle w:val="Contenidodelmarco"/>
                            <w:spacing w:lineRule="atLeast" w:line="240" w:before="0" w:after="0"/>
                            <w:rPr>
                              <w:color w:val="1D8FC7"/>
                              <w:sz w:val="16"/>
                              <w:szCs w:val="16"/>
                            </w:rPr>
                          </w:pPr>
                          <w:r>
                            <w:rPr>
                              <w:color w:val="1D8FC7"/>
                              <w:sz w:val="16"/>
                              <w:szCs w:val="16"/>
                            </w:rPr>
                            <w:t>Plaza de la Constitución, 1</w:t>
                          </w:r>
                        </w:p>
                        <w:p>
                          <w:pPr>
                            <w:pStyle w:val="Contenidodelmarco"/>
                            <w:spacing w:lineRule="atLeast" w:line="240" w:before="0" w:after="0"/>
                            <w:rPr>
                              <w:color w:val="1D8FC7"/>
                              <w:sz w:val="16"/>
                              <w:szCs w:val="16"/>
                            </w:rPr>
                          </w:pPr>
                          <w:r>
                            <w:rPr>
                              <w:color w:val="1D8FC7"/>
                              <w:sz w:val="16"/>
                              <w:szCs w:val="16"/>
                            </w:rPr>
                            <w:t>04740 Roquetas de Mar, Almería</w:t>
                          </w:r>
                        </w:p>
                        <w:p>
                          <w:pPr>
                            <w:pStyle w:val="Contenidodelmarco"/>
                            <w:spacing w:lineRule="atLeast" w:line="240" w:before="0" w:after="0"/>
                            <w:rPr>
                              <w:color w:val="1D8FC7"/>
                              <w:sz w:val="16"/>
                              <w:szCs w:val="16"/>
                            </w:rPr>
                          </w:pPr>
                          <w:r>
                            <w:rPr>
                              <w:color w:val="1D8FC7"/>
                              <w:sz w:val="16"/>
                              <w:szCs w:val="16"/>
                            </w:rPr>
                            <w:t>Tels.: 950 33 85 85 – 950 33 86 19</w:t>
                          </w:r>
                        </w:p>
                        <w:p>
                          <w:pPr>
                            <w:pStyle w:val="Contenidodelmarco"/>
                            <w:spacing w:lineRule="atLeast" w:line="240" w:before="0" w:after="0"/>
                            <w:rPr>
                              <w:color w:val="1D8FC7"/>
                              <w:sz w:val="16"/>
                              <w:szCs w:val="16"/>
                            </w:rPr>
                          </w:pPr>
                          <w:r>
                            <w:rPr>
                              <w:color w:val="1D8FC7"/>
                              <w:sz w:val="16"/>
                              <w:szCs w:val="16"/>
                            </w:rPr>
                            <w:t>Fax: 950 32 15 14</w:t>
                          </w:r>
                        </w:p>
                      </w:txbxContent>
                    </wps:txbx>
                    <wps:bodyPr anchor="t" upright="1">
                      <a:noAutofit/>
                    </wps:bodyPr>
                  </wps:wsp>
                </a:graphicData>
              </a:graphic>
            </wp:anchor>
          </w:drawing>
        </mc:Choice>
        <mc:Fallback>
          <w:pict>
            <v:rect id="shape_0" ID="Cuadro de texto 2" path="m0,0l-2147483645,0l-2147483645,-2147483646l0,-2147483646xe" fillcolor="white" stroked="f" o:allowincell="f" style="position:absolute;margin-left:-34pt;margin-top:0pt;width:143.95pt;height:54.1pt;mso-wrap-style:square;v-text-anchor:top" wp14:anchorId="71B56AFC">
              <v:fill o:detectmouseclick="t" type="solid" color2="black"/>
              <v:stroke color="#3465a4" joinstyle="round" endcap="flat"/>
              <v:textbox>
                <w:txbxContent>
                  <w:p>
                    <w:pPr>
                      <w:pStyle w:val="Contenidodelmarco"/>
                      <w:spacing w:lineRule="atLeast" w:line="240" w:before="0" w:after="0"/>
                      <w:rPr>
                        <w:color w:val="1D8FC7"/>
                        <w:sz w:val="16"/>
                        <w:szCs w:val="16"/>
                      </w:rPr>
                    </w:pPr>
                    <w:r>
                      <w:rPr>
                        <w:color w:val="1D8FC7"/>
                        <w:sz w:val="16"/>
                        <w:szCs w:val="16"/>
                      </w:rPr>
                      <w:t>Plaza de la Constitución, 1</w:t>
                    </w:r>
                  </w:p>
                  <w:p>
                    <w:pPr>
                      <w:pStyle w:val="Contenidodelmarco"/>
                      <w:spacing w:lineRule="atLeast" w:line="240" w:before="0" w:after="0"/>
                      <w:rPr>
                        <w:color w:val="1D8FC7"/>
                        <w:sz w:val="16"/>
                        <w:szCs w:val="16"/>
                      </w:rPr>
                    </w:pPr>
                    <w:r>
                      <w:rPr>
                        <w:color w:val="1D8FC7"/>
                        <w:sz w:val="16"/>
                        <w:szCs w:val="16"/>
                      </w:rPr>
                      <w:t>04740 Roquetas de Mar, Almería</w:t>
                    </w:r>
                  </w:p>
                  <w:p>
                    <w:pPr>
                      <w:pStyle w:val="Contenidodelmarco"/>
                      <w:spacing w:lineRule="atLeast" w:line="240" w:before="0" w:after="0"/>
                      <w:rPr>
                        <w:color w:val="1D8FC7"/>
                        <w:sz w:val="16"/>
                        <w:szCs w:val="16"/>
                      </w:rPr>
                    </w:pPr>
                    <w:r>
                      <w:rPr>
                        <w:color w:val="1D8FC7"/>
                        <w:sz w:val="16"/>
                        <w:szCs w:val="16"/>
                      </w:rPr>
                      <w:t>Tels.: 950 33 85 85 – 950 33 86 19</w:t>
                    </w:r>
                  </w:p>
                  <w:p>
                    <w:pPr>
                      <w:pStyle w:val="Contenidodelmarco"/>
                      <w:spacing w:lineRule="atLeast" w:line="240" w:before="0" w:after="0"/>
                      <w:rPr>
                        <w:color w:val="1D8FC7"/>
                        <w:sz w:val="16"/>
                        <w:szCs w:val="16"/>
                      </w:rPr>
                    </w:pPr>
                    <w:r>
                      <w:rPr>
                        <w:color w:val="1D8FC7"/>
                        <w:sz w:val="16"/>
                        <w:szCs w:val="16"/>
                      </w:rPr>
                      <w:t>Fax: 950 32 15 14</w:t>
                    </w:r>
                  </w:p>
                </w:txbxContent>
              </v:textbox>
              <w10:wrap type="square"/>
            </v:rect>
          </w:pict>
        </mc:Fallback>
      </mc:AlternateContent>
    </w:r>
    <w:r>
      <w:rPr>
        <w:rFonts w:cs="Times New Roman" w:ascii="Times New Roman" w:hAnsi="Times New Roman"/>
        <w:sz w:val="16"/>
        <w:szCs w:val="16"/>
      </w:rPr>
      <w:tab/>
    </w:r>
  </w:p>
  <w:p>
    <w:pPr>
      <w:pStyle w:val="Encabezado22"/>
      <w:tabs>
        <w:tab w:val="center" w:pos="4252" w:leader="none"/>
        <w:tab w:val="right" w:pos="8391" w:leader="none"/>
        <w:tab w:val="right" w:pos="8504" w:leader="none"/>
      </w:tabs>
      <w:spacing w:lineRule="atLeast" w:line="240" w:before="0" w:after="0"/>
      <w:jc w:val="right"/>
      <w:rPr>
        <w:rFonts w:ascii="Times New Roman" w:hAnsi="Times New Roman" w:cs="Times New Roman"/>
        <w:sz w:val="16"/>
        <w:szCs w:val="16"/>
      </w:rPr>
    </w:pPr>
    <w:r>
      <w:rPr>
        <w:rFonts w:cs="Times New Roman" w:ascii="Times New Roman" w:hAnsi="Times New Roman"/>
        <w:sz w:val="16"/>
        <w:szCs w:val="16"/>
      </w:rPr>
      <w:drawing>
        <wp:anchor behindDoc="1" distT="0" distB="0" distL="0" distR="0" simplePos="0" locked="0" layoutInCell="0" allowOverlap="1" relativeHeight="38">
          <wp:simplePos x="0" y="0"/>
          <wp:positionH relativeFrom="column">
            <wp:posOffset>3953510</wp:posOffset>
          </wp:positionH>
          <wp:positionV relativeFrom="paragraph">
            <wp:posOffset>635</wp:posOffset>
          </wp:positionV>
          <wp:extent cx="1914525" cy="781050"/>
          <wp:effectExtent l="0" t="0" r="0" b="0"/>
          <wp:wrapSquare wrapText="bothSides"/>
          <wp:docPr id="3"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3" descr=""/>
                  <pic:cNvPicPr>
                    <a:picLocks noChangeAspect="1" noChangeArrowheads="1"/>
                  </pic:cNvPicPr>
                </pic:nvPicPr>
                <pic:blipFill>
                  <a:blip r:embed="rId1"/>
                  <a:stretch>
                    <a:fillRect/>
                  </a:stretch>
                </pic:blipFill>
                <pic:spPr bwMode="auto">
                  <a:xfrm>
                    <a:off x="0" y="0"/>
                    <a:ext cx="1914525" cy="781050"/>
                  </a:xfrm>
                  <a:prstGeom prst="rect">
                    <a:avLst/>
                  </a:prstGeom>
                </pic:spPr>
              </pic:pic>
            </a:graphicData>
          </a:graphic>
        </wp:anchor>
      </w:drawing>
    </w:r>
  </w:p>
  <w:p>
    <w:pPr>
      <w:pStyle w:val="Encabezado28"/>
      <w:rPr>
        <w:rFonts w:ascii="AytoRoquetas Light Condensed" w:hAnsi="AytoRoquetas Light Condensed" w:cs="AytoRoquetas Light Condensed"/>
      </w:rPr>
    </w:pPr>
    <w:r>
      <w:rPr>
        <w:rFonts w:cs="AytoRoquetas Light Condensed" w:ascii="AytoRoquetas Light Condensed" w:hAnsi="AytoRoquetas Light Condensed"/>
      </w:rPr>
    </w:r>
  </w:p>
  <w:p>
    <w:pPr>
      <w:pStyle w:val="Encabezado28"/>
      <w:spacing w:before="0" w:after="200"/>
      <w:rPr>
        <w:rFonts w:ascii="AytoRoquetas Light Condensed" w:hAnsi="AytoRoquetas Light Condensed" w:cs="AytoRoquetas Light Condensed"/>
      </w:rPr>
    </w:pPr>
    <w:r>
      <w:rPr>
        <w:rFonts w:cs="AytoRoquetas Light Condensed" w:ascii="AytoRoquetas Light Condensed" w:hAnsi="AytoRoquetas Light Condensed"/>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40"/>
        </w:tabs>
        <w:ind w:left="140" w:hanging="0"/>
      </w:pPr>
      <w:rPr>
        <w:rFonts w:ascii="OpenSymbol" w:hAnsi="OpenSymbol" w:cs="OpenSymbol" w:hint="default"/>
        <w:sz w:val="24"/>
        <w:color w:val="000000"/>
      </w:rPr>
    </w:lvl>
    <w:lvl w:ilvl="1">
      <w:start w:val="1"/>
      <w:numFmt w:val="bullet"/>
      <w:lvlText w:val="-"/>
      <w:lvlJc w:val="left"/>
      <w:pPr>
        <w:tabs>
          <w:tab w:val="num" w:pos="140"/>
        </w:tabs>
        <w:ind w:left="140" w:hanging="0"/>
      </w:pPr>
      <w:rPr>
        <w:rFonts w:ascii="OpenSymbol" w:hAnsi="OpenSymbol" w:cs="OpenSymbol" w:hint="default"/>
        <w:sz w:val="24"/>
        <w:color w:val="000000"/>
      </w:rPr>
    </w:lvl>
    <w:lvl w:ilvl="2">
      <w:start w:val="1"/>
      <w:numFmt w:val="bullet"/>
      <w:lvlText w:val="-"/>
      <w:lvlJc w:val="left"/>
      <w:pPr>
        <w:tabs>
          <w:tab w:val="num" w:pos="140"/>
        </w:tabs>
        <w:ind w:left="140" w:hanging="0"/>
      </w:pPr>
      <w:rPr>
        <w:rFonts w:ascii="OpenSymbol" w:hAnsi="OpenSymbol" w:cs="OpenSymbol" w:hint="default"/>
        <w:sz w:val="24"/>
        <w:color w:val="000000"/>
      </w:rPr>
    </w:lvl>
    <w:lvl w:ilvl="3">
      <w:start w:val="1"/>
      <w:numFmt w:val="bullet"/>
      <w:lvlText w:val="-"/>
      <w:lvlJc w:val="left"/>
      <w:pPr>
        <w:tabs>
          <w:tab w:val="num" w:pos="140"/>
        </w:tabs>
        <w:ind w:left="140" w:hanging="0"/>
      </w:pPr>
      <w:rPr>
        <w:rFonts w:ascii="OpenSymbol" w:hAnsi="OpenSymbol" w:cs="OpenSymbol" w:hint="default"/>
        <w:sz w:val="24"/>
        <w:color w:val="000000"/>
      </w:rPr>
    </w:lvl>
    <w:lvl w:ilvl="4">
      <w:start w:val="1"/>
      <w:numFmt w:val="bullet"/>
      <w:lvlText w:val="-"/>
      <w:lvlJc w:val="left"/>
      <w:pPr>
        <w:tabs>
          <w:tab w:val="num" w:pos="140"/>
        </w:tabs>
        <w:ind w:left="140" w:hanging="0"/>
      </w:pPr>
      <w:rPr>
        <w:rFonts w:ascii="OpenSymbol" w:hAnsi="OpenSymbol" w:cs="OpenSymbol" w:hint="default"/>
        <w:sz w:val="24"/>
        <w:color w:val="000000"/>
      </w:rPr>
    </w:lvl>
    <w:lvl w:ilvl="5">
      <w:start w:val="1"/>
      <w:numFmt w:val="bullet"/>
      <w:lvlText w:val="-"/>
      <w:lvlJc w:val="left"/>
      <w:pPr>
        <w:tabs>
          <w:tab w:val="num" w:pos="140"/>
        </w:tabs>
        <w:ind w:left="140" w:hanging="0"/>
      </w:pPr>
      <w:rPr>
        <w:rFonts w:ascii="OpenSymbol" w:hAnsi="OpenSymbol" w:cs="OpenSymbol" w:hint="default"/>
        <w:sz w:val="24"/>
        <w:color w:val="000000"/>
      </w:rPr>
    </w:lvl>
    <w:lvl w:ilvl="6">
      <w:start w:val="1"/>
      <w:numFmt w:val="bullet"/>
      <w:lvlText w:val="-"/>
      <w:lvlJc w:val="left"/>
      <w:pPr>
        <w:tabs>
          <w:tab w:val="num" w:pos="140"/>
        </w:tabs>
        <w:ind w:left="140" w:hanging="0"/>
      </w:pPr>
      <w:rPr>
        <w:rFonts w:ascii="OpenSymbol" w:hAnsi="OpenSymbol" w:cs="OpenSymbol" w:hint="default"/>
        <w:sz w:val="24"/>
        <w:color w:val="000000"/>
      </w:rPr>
    </w:lvl>
    <w:lvl w:ilvl="7">
      <w:start w:val="1"/>
      <w:numFmt w:val="bullet"/>
      <w:lvlText w:val="-"/>
      <w:lvlJc w:val="left"/>
      <w:pPr>
        <w:tabs>
          <w:tab w:val="num" w:pos="140"/>
        </w:tabs>
        <w:ind w:left="140" w:hanging="0"/>
      </w:pPr>
      <w:rPr>
        <w:rFonts w:ascii="OpenSymbol" w:hAnsi="OpenSymbol" w:cs="OpenSymbol" w:hint="default"/>
        <w:sz w:val="24"/>
        <w:color w:val="000000"/>
      </w:rPr>
    </w:lvl>
    <w:lvl w:ilvl="8">
      <w:start w:val="1"/>
      <w:numFmt w:val="bullet"/>
      <w:lvlText w:val="-"/>
      <w:lvlJc w:val="left"/>
      <w:pPr>
        <w:tabs>
          <w:tab w:val="num" w:pos="140"/>
        </w:tabs>
        <w:ind w:left="140" w:hanging="0"/>
      </w:pPr>
      <w:rPr>
        <w:rFonts w:ascii="OpenSymbol" w:hAnsi="OpenSymbol" w:cs="OpenSymbol" w:hint="default"/>
        <w:sz w:val="24"/>
        <w:color w:val="000000"/>
      </w:rPr>
    </w:lvl>
  </w:abstractNum>
  <w:abstractNum w:abstractNumId="2">
    <w:lvl w:ilvl="0">
      <w:start w:val="1"/>
      <w:numFmt w:val="bullet"/>
      <w:lvlText w:val="-"/>
      <w:lvlJc w:val="left"/>
      <w:pPr>
        <w:tabs>
          <w:tab w:val="num" w:pos="140"/>
        </w:tabs>
        <w:ind w:left="140" w:hanging="0"/>
      </w:pPr>
      <w:rPr>
        <w:rFonts w:ascii="OpenSymbol" w:hAnsi="OpenSymbol" w:cs="OpenSymbol" w:hint="default"/>
        <w:sz w:val="24"/>
        <w:color w:val="000000"/>
      </w:rPr>
    </w:lvl>
    <w:lvl w:ilvl="1">
      <w:start w:val="1"/>
      <w:numFmt w:val="bullet"/>
      <w:lvlText w:val="-"/>
      <w:lvlJc w:val="left"/>
      <w:pPr>
        <w:tabs>
          <w:tab w:val="num" w:pos="140"/>
        </w:tabs>
        <w:ind w:left="140" w:hanging="0"/>
      </w:pPr>
      <w:rPr>
        <w:rFonts w:ascii="OpenSymbol" w:hAnsi="OpenSymbol" w:cs="OpenSymbol" w:hint="default"/>
        <w:sz w:val="24"/>
        <w:color w:val="000000"/>
      </w:rPr>
    </w:lvl>
    <w:lvl w:ilvl="2">
      <w:start w:val="1"/>
      <w:numFmt w:val="bullet"/>
      <w:lvlText w:val="-"/>
      <w:lvlJc w:val="left"/>
      <w:pPr>
        <w:tabs>
          <w:tab w:val="num" w:pos="140"/>
        </w:tabs>
        <w:ind w:left="140" w:hanging="0"/>
      </w:pPr>
      <w:rPr>
        <w:rFonts w:ascii="OpenSymbol" w:hAnsi="OpenSymbol" w:cs="OpenSymbol" w:hint="default"/>
        <w:sz w:val="24"/>
        <w:color w:val="000000"/>
      </w:rPr>
    </w:lvl>
    <w:lvl w:ilvl="3">
      <w:start w:val="1"/>
      <w:numFmt w:val="bullet"/>
      <w:lvlText w:val="-"/>
      <w:lvlJc w:val="left"/>
      <w:pPr>
        <w:tabs>
          <w:tab w:val="num" w:pos="140"/>
        </w:tabs>
        <w:ind w:left="140" w:hanging="0"/>
      </w:pPr>
      <w:rPr>
        <w:rFonts w:ascii="OpenSymbol" w:hAnsi="OpenSymbol" w:cs="OpenSymbol" w:hint="default"/>
        <w:sz w:val="24"/>
        <w:color w:val="000000"/>
      </w:rPr>
    </w:lvl>
    <w:lvl w:ilvl="4">
      <w:start w:val="1"/>
      <w:numFmt w:val="bullet"/>
      <w:lvlText w:val="-"/>
      <w:lvlJc w:val="left"/>
      <w:pPr>
        <w:tabs>
          <w:tab w:val="num" w:pos="140"/>
        </w:tabs>
        <w:ind w:left="140" w:hanging="0"/>
      </w:pPr>
      <w:rPr>
        <w:rFonts w:ascii="OpenSymbol" w:hAnsi="OpenSymbol" w:cs="OpenSymbol" w:hint="default"/>
        <w:sz w:val="24"/>
        <w:color w:val="000000"/>
      </w:rPr>
    </w:lvl>
    <w:lvl w:ilvl="5">
      <w:start w:val="1"/>
      <w:numFmt w:val="bullet"/>
      <w:lvlText w:val="-"/>
      <w:lvlJc w:val="left"/>
      <w:pPr>
        <w:tabs>
          <w:tab w:val="num" w:pos="140"/>
        </w:tabs>
        <w:ind w:left="140" w:hanging="0"/>
      </w:pPr>
      <w:rPr>
        <w:rFonts w:ascii="OpenSymbol" w:hAnsi="OpenSymbol" w:cs="OpenSymbol" w:hint="default"/>
        <w:sz w:val="24"/>
        <w:color w:val="000000"/>
      </w:rPr>
    </w:lvl>
    <w:lvl w:ilvl="6">
      <w:start w:val="1"/>
      <w:numFmt w:val="bullet"/>
      <w:lvlText w:val="-"/>
      <w:lvlJc w:val="left"/>
      <w:pPr>
        <w:tabs>
          <w:tab w:val="num" w:pos="140"/>
        </w:tabs>
        <w:ind w:left="140" w:hanging="0"/>
      </w:pPr>
      <w:rPr>
        <w:rFonts w:ascii="OpenSymbol" w:hAnsi="OpenSymbol" w:cs="OpenSymbol" w:hint="default"/>
        <w:sz w:val="24"/>
        <w:color w:val="000000"/>
      </w:rPr>
    </w:lvl>
    <w:lvl w:ilvl="7">
      <w:start w:val="1"/>
      <w:numFmt w:val="bullet"/>
      <w:lvlText w:val="-"/>
      <w:lvlJc w:val="left"/>
      <w:pPr>
        <w:tabs>
          <w:tab w:val="num" w:pos="140"/>
        </w:tabs>
        <w:ind w:left="140" w:hanging="0"/>
      </w:pPr>
      <w:rPr>
        <w:rFonts w:ascii="OpenSymbol" w:hAnsi="OpenSymbol" w:cs="OpenSymbol" w:hint="default"/>
        <w:sz w:val="24"/>
        <w:color w:val="000000"/>
      </w:rPr>
    </w:lvl>
    <w:lvl w:ilvl="8">
      <w:start w:val="1"/>
      <w:numFmt w:val="bullet"/>
      <w:lvlText w:val="-"/>
      <w:lvlJc w:val="left"/>
      <w:pPr>
        <w:tabs>
          <w:tab w:val="num" w:pos="140"/>
        </w:tabs>
        <w:ind w:left="140" w:hanging="0"/>
      </w:pPr>
      <w:rPr>
        <w:rFonts w:ascii="OpenSymbol" w:hAnsi="OpenSymbol" w:cs="OpenSymbol" w:hint="default"/>
        <w:sz w:val="24"/>
        <w:color w:val="000000"/>
      </w:rPr>
    </w:lvl>
  </w:abstractNum>
  <w:abstractNum w:abstractNumId="3">
    <w:lvl w:ilvl="0">
      <w:start w:val="1"/>
      <w:numFmt w:val="bullet"/>
      <w:lvlText w:val="-"/>
      <w:lvlJc w:val="left"/>
      <w:pPr>
        <w:tabs>
          <w:tab w:val="num" w:pos="140"/>
        </w:tabs>
        <w:ind w:left="140" w:hanging="0"/>
      </w:pPr>
      <w:rPr>
        <w:rFonts w:ascii="OpenSymbol" w:hAnsi="OpenSymbol" w:cs="OpenSymbol" w:hint="default"/>
        <w:sz w:val="24"/>
        <w:color w:val="000000"/>
      </w:rPr>
    </w:lvl>
    <w:lvl w:ilvl="1">
      <w:start w:val="1"/>
      <w:numFmt w:val="bullet"/>
      <w:lvlText w:val="-"/>
      <w:lvlJc w:val="left"/>
      <w:pPr>
        <w:tabs>
          <w:tab w:val="num" w:pos="140"/>
        </w:tabs>
        <w:ind w:left="140" w:hanging="0"/>
      </w:pPr>
      <w:rPr>
        <w:rFonts w:ascii="OpenSymbol" w:hAnsi="OpenSymbol" w:cs="OpenSymbol" w:hint="default"/>
        <w:sz w:val="24"/>
        <w:color w:val="000000"/>
      </w:rPr>
    </w:lvl>
    <w:lvl w:ilvl="2">
      <w:start w:val="1"/>
      <w:numFmt w:val="bullet"/>
      <w:lvlText w:val="-"/>
      <w:lvlJc w:val="left"/>
      <w:pPr>
        <w:tabs>
          <w:tab w:val="num" w:pos="140"/>
        </w:tabs>
        <w:ind w:left="140" w:hanging="0"/>
      </w:pPr>
      <w:rPr>
        <w:rFonts w:ascii="OpenSymbol" w:hAnsi="OpenSymbol" w:cs="OpenSymbol" w:hint="default"/>
        <w:sz w:val="24"/>
        <w:color w:val="000000"/>
      </w:rPr>
    </w:lvl>
    <w:lvl w:ilvl="3">
      <w:start w:val="1"/>
      <w:numFmt w:val="bullet"/>
      <w:lvlText w:val="-"/>
      <w:lvlJc w:val="left"/>
      <w:pPr>
        <w:tabs>
          <w:tab w:val="num" w:pos="140"/>
        </w:tabs>
        <w:ind w:left="140" w:hanging="0"/>
      </w:pPr>
      <w:rPr>
        <w:rFonts w:ascii="OpenSymbol" w:hAnsi="OpenSymbol" w:cs="OpenSymbol" w:hint="default"/>
        <w:sz w:val="24"/>
        <w:color w:val="000000"/>
      </w:rPr>
    </w:lvl>
    <w:lvl w:ilvl="4">
      <w:start w:val="1"/>
      <w:numFmt w:val="bullet"/>
      <w:lvlText w:val="-"/>
      <w:lvlJc w:val="left"/>
      <w:pPr>
        <w:tabs>
          <w:tab w:val="num" w:pos="140"/>
        </w:tabs>
        <w:ind w:left="140" w:hanging="0"/>
      </w:pPr>
      <w:rPr>
        <w:rFonts w:ascii="OpenSymbol" w:hAnsi="OpenSymbol" w:cs="OpenSymbol" w:hint="default"/>
        <w:sz w:val="24"/>
        <w:color w:val="000000"/>
      </w:rPr>
    </w:lvl>
    <w:lvl w:ilvl="5">
      <w:start w:val="1"/>
      <w:numFmt w:val="bullet"/>
      <w:lvlText w:val="-"/>
      <w:lvlJc w:val="left"/>
      <w:pPr>
        <w:tabs>
          <w:tab w:val="num" w:pos="140"/>
        </w:tabs>
        <w:ind w:left="140" w:hanging="0"/>
      </w:pPr>
      <w:rPr>
        <w:rFonts w:ascii="OpenSymbol" w:hAnsi="OpenSymbol" w:cs="OpenSymbol" w:hint="default"/>
        <w:sz w:val="24"/>
        <w:color w:val="000000"/>
      </w:rPr>
    </w:lvl>
    <w:lvl w:ilvl="6">
      <w:start w:val="1"/>
      <w:numFmt w:val="bullet"/>
      <w:lvlText w:val="-"/>
      <w:lvlJc w:val="left"/>
      <w:pPr>
        <w:tabs>
          <w:tab w:val="num" w:pos="140"/>
        </w:tabs>
        <w:ind w:left="140" w:hanging="0"/>
      </w:pPr>
      <w:rPr>
        <w:rFonts w:ascii="OpenSymbol" w:hAnsi="OpenSymbol" w:cs="OpenSymbol" w:hint="default"/>
        <w:sz w:val="24"/>
        <w:color w:val="000000"/>
      </w:rPr>
    </w:lvl>
    <w:lvl w:ilvl="7">
      <w:start w:val="1"/>
      <w:numFmt w:val="bullet"/>
      <w:lvlText w:val="-"/>
      <w:lvlJc w:val="left"/>
      <w:pPr>
        <w:tabs>
          <w:tab w:val="num" w:pos="140"/>
        </w:tabs>
        <w:ind w:left="140" w:hanging="0"/>
      </w:pPr>
      <w:rPr>
        <w:rFonts w:ascii="OpenSymbol" w:hAnsi="OpenSymbol" w:cs="OpenSymbol" w:hint="default"/>
        <w:sz w:val="24"/>
        <w:color w:val="000000"/>
      </w:rPr>
    </w:lvl>
    <w:lvl w:ilvl="8">
      <w:start w:val="1"/>
      <w:numFmt w:val="bullet"/>
      <w:lvlText w:val="-"/>
      <w:lvlJc w:val="left"/>
      <w:pPr>
        <w:tabs>
          <w:tab w:val="num" w:pos="140"/>
        </w:tabs>
        <w:ind w:left="140" w:hanging="0"/>
      </w:pPr>
      <w:rPr>
        <w:rFonts w:ascii="OpenSymbol" w:hAnsi="OpenSymbol" w:cs="OpenSymbol" w:hint="default"/>
        <w:sz w:val="24"/>
        <w:color w:val="000000"/>
      </w:rPr>
    </w:lvl>
  </w:abstractNum>
  <w:abstractNum w:abstractNumId="4">
    <w:lvl w:ilvl="0">
      <w:start w:val="1"/>
      <w:numFmt w:val="upp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embedSystemFonts/>
  <w:defaultTabStop w:val="1134"/>
  <w:autoHyphenation w:val="true"/>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Times New Roman" w:asciiTheme="minorHAnsi" w:eastAsiaTheme="minorEastAsia" w:hAnsiTheme="minorHAnsi"/>
        <w:sz w:val="22"/>
        <w:szCs w:val="22"/>
        <w:lang w:val="es-ES"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cs="Calibri" w:eastAsia="" w:asciiTheme="minorHAnsi" w:eastAsiaTheme="minorEastAsia" w:hAnsiTheme="minorHAnsi"/>
      <w:color w:val="auto"/>
      <w:kern w:val="0"/>
      <w:sz w:val="22"/>
      <w:szCs w:val="22"/>
      <w:lang w:val="es-ES" w:eastAsia="es-ES" w:bidi="ar-SA"/>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locked/>
    <w:rPr>
      <w:rFonts w:cs="Times New Roman"/>
    </w:rPr>
  </w:style>
  <w:style w:type="character" w:styleId="TextodegloboCar" w:customStyle="1">
    <w:name w:val="Texto de globo Car"/>
    <w:basedOn w:val="DefaultParagraphFont"/>
    <w:link w:val="BalloonText"/>
    <w:uiPriority w:val="99"/>
    <w:qFormat/>
    <w:locked/>
    <w:rPr>
      <w:rFonts w:ascii="Tahoma" w:hAnsi="Tahoma" w:cs="Tahoma"/>
      <w:sz w:val="16"/>
      <w:szCs w:val="16"/>
    </w:rPr>
  </w:style>
  <w:style w:type="character" w:styleId="PiedepginaCar" w:customStyle="1">
    <w:name w:val="Pie de página Car"/>
    <w:basedOn w:val="DefaultParagraphFont"/>
    <w:uiPriority w:val="99"/>
    <w:qFormat/>
    <w:rPr>
      <w:rFonts w:cs="Times New Roman"/>
    </w:rPr>
  </w:style>
  <w:style w:type="character" w:styleId="PiedepginaCar1" w:customStyle="1">
    <w:name w:val="Pie de página Car1"/>
    <w:basedOn w:val="DefaultParagraphFont"/>
    <w:uiPriority w:val="99"/>
    <w:qFormat/>
    <w:locked/>
    <w:rPr>
      <w:rFonts w:cs="Times New Roman"/>
      <w:sz w:val="22"/>
      <w:szCs w:val="22"/>
    </w:rPr>
  </w:style>
  <w:style w:type="character" w:styleId="EncabezadoCar1" w:customStyle="1">
    <w:name w:val="Encabezado Car1"/>
    <w:basedOn w:val="DefaultParagraphFont"/>
    <w:uiPriority w:val="99"/>
    <w:qFormat/>
    <w:rPr>
      <w:rFonts w:cs="Times New Roman"/>
      <w:sz w:val="22"/>
      <w:szCs w:val="22"/>
    </w:rPr>
  </w:style>
  <w:style w:type="character" w:styleId="EncabezadoCar2" w:customStyle="1">
    <w:name w:val="Encabezado Car2"/>
    <w:basedOn w:val="DefaultParagraphFont"/>
    <w:uiPriority w:val="99"/>
    <w:qFormat/>
    <w:rPr>
      <w:rFonts w:cs="Times New Roman"/>
      <w:sz w:val="22"/>
      <w:szCs w:val="22"/>
    </w:rPr>
  </w:style>
  <w:style w:type="character" w:styleId="PiedepginaCar2" w:customStyle="1">
    <w:name w:val="Pie de página Car2"/>
    <w:basedOn w:val="DefaultParagraphFont"/>
    <w:uiPriority w:val="99"/>
    <w:qFormat/>
    <w:rPr>
      <w:rFonts w:cs="Times New Roman"/>
      <w:sz w:val="22"/>
      <w:szCs w:val="22"/>
    </w:rPr>
  </w:style>
  <w:style w:type="character" w:styleId="EncabezadoCar3" w:customStyle="1">
    <w:name w:val="Encabezado Car3"/>
    <w:basedOn w:val="DefaultParagraphFont"/>
    <w:uiPriority w:val="99"/>
    <w:qFormat/>
    <w:rPr>
      <w:rFonts w:cs="Times New Roman"/>
      <w:sz w:val="22"/>
      <w:szCs w:val="22"/>
    </w:rPr>
  </w:style>
  <w:style w:type="character" w:styleId="PiedepginaCar3" w:customStyle="1">
    <w:name w:val="Pie de página Car3"/>
    <w:basedOn w:val="DefaultParagraphFont"/>
    <w:uiPriority w:val="99"/>
    <w:qFormat/>
    <w:rPr>
      <w:rFonts w:cs="Times New Roman"/>
      <w:sz w:val="22"/>
      <w:szCs w:val="22"/>
    </w:rPr>
  </w:style>
  <w:style w:type="character" w:styleId="EncabezadoCar4" w:customStyle="1">
    <w:name w:val="Encabezado Car4"/>
    <w:basedOn w:val="DefaultParagraphFont"/>
    <w:uiPriority w:val="99"/>
    <w:qFormat/>
    <w:rPr>
      <w:rFonts w:cs="Times New Roman"/>
      <w:sz w:val="22"/>
      <w:szCs w:val="22"/>
    </w:rPr>
  </w:style>
  <w:style w:type="character" w:styleId="PiedepginaCar4" w:customStyle="1">
    <w:name w:val="Pie de página Car4"/>
    <w:basedOn w:val="DefaultParagraphFont"/>
    <w:uiPriority w:val="99"/>
    <w:qFormat/>
    <w:rPr>
      <w:rFonts w:cs="Times New Roman"/>
      <w:sz w:val="22"/>
      <w:szCs w:val="22"/>
    </w:rPr>
  </w:style>
  <w:style w:type="character" w:styleId="EncabezadoCar5" w:customStyle="1">
    <w:name w:val="Encabezado Car5"/>
    <w:basedOn w:val="DefaultParagraphFont"/>
    <w:uiPriority w:val="99"/>
    <w:qFormat/>
    <w:rPr>
      <w:rFonts w:cs="Times New Roman"/>
      <w:sz w:val="22"/>
      <w:szCs w:val="22"/>
    </w:rPr>
  </w:style>
  <w:style w:type="character" w:styleId="PiedepginaCar5" w:customStyle="1">
    <w:name w:val="Pie de página Car5"/>
    <w:basedOn w:val="DefaultParagraphFont"/>
    <w:uiPriority w:val="99"/>
    <w:qFormat/>
    <w:rPr>
      <w:rFonts w:cs="Times New Roman"/>
      <w:sz w:val="22"/>
      <w:szCs w:val="22"/>
    </w:rPr>
  </w:style>
  <w:style w:type="character" w:styleId="EncabezadoCar6" w:customStyle="1">
    <w:name w:val="Encabezado Car6"/>
    <w:basedOn w:val="DefaultParagraphFont"/>
    <w:uiPriority w:val="99"/>
    <w:qFormat/>
    <w:rPr>
      <w:rFonts w:cs="Times New Roman"/>
      <w:sz w:val="22"/>
      <w:szCs w:val="22"/>
    </w:rPr>
  </w:style>
  <w:style w:type="character" w:styleId="PiedepginaCar6" w:customStyle="1">
    <w:name w:val="Pie de página Car6"/>
    <w:basedOn w:val="DefaultParagraphFont"/>
    <w:uiPriority w:val="99"/>
    <w:qFormat/>
    <w:rPr>
      <w:rFonts w:cs="Times New Roman"/>
      <w:sz w:val="22"/>
      <w:szCs w:val="22"/>
    </w:rPr>
  </w:style>
  <w:style w:type="character" w:styleId="EncabezadoCar7" w:customStyle="1">
    <w:name w:val="Encabezado Car7"/>
    <w:basedOn w:val="DefaultParagraphFont"/>
    <w:uiPriority w:val="99"/>
    <w:qFormat/>
    <w:rPr>
      <w:rFonts w:cs="Times New Roman"/>
      <w:sz w:val="22"/>
      <w:szCs w:val="22"/>
    </w:rPr>
  </w:style>
  <w:style w:type="character" w:styleId="PiedepginaCar7" w:customStyle="1">
    <w:name w:val="Pie de página Car7"/>
    <w:basedOn w:val="DefaultParagraphFont"/>
    <w:uiPriority w:val="99"/>
    <w:qFormat/>
    <w:rPr>
      <w:rFonts w:cs="Times New Roman"/>
      <w:sz w:val="22"/>
      <w:szCs w:val="22"/>
    </w:rPr>
  </w:style>
  <w:style w:type="character" w:styleId="EncabezadoCar8" w:customStyle="1">
    <w:name w:val="Encabezado Car8"/>
    <w:basedOn w:val="DefaultParagraphFont"/>
    <w:uiPriority w:val="99"/>
    <w:qFormat/>
    <w:rPr>
      <w:rFonts w:cs="Times New Roman"/>
      <w:sz w:val="22"/>
      <w:szCs w:val="22"/>
    </w:rPr>
  </w:style>
  <w:style w:type="character" w:styleId="PiedepginaCar8" w:customStyle="1">
    <w:name w:val="Pie de página Car8"/>
    <w:basedOn w:val="DefaultParagraphFont"/>
    <w:uiPriority w:val="99"/>
    <w:qFormat/>
    <w:rPr>
      <w:rFonts w:cs="Times New Roman"/>
      <w:sz w:val="22"/>
      <w:szCs w:val="22"/>
    </w:rPr>
  </w:style>
  <w:style w:type="character" w:styleId="EncabezadoCar9" w:customStyle="1">
    <w:name w:val="Encabezado Car9"/>
    <w:basedOn w:val="DefaultParagraphFont"/>
    <w:uiPriority w:val="99"/>
    <w:qFormat/>
    <w:rPr>
      <w:rFonts w:cs="Times New Roman"/>
      <w:sz w:val="22"/>
      <w:szCs w:val="22"/>
    </w:rPr>
  </w:style>
  <w:style w:type="character" w:styleId="PiedepginaCar9" w:customStyle="1">
    <w:name w:val="Pie de página Car9"/>
    <w:basedOn w:val="DefaultParagraphFont"/>
    <w:uiPriority w:val="99"/>
    <w:qFormat/>
    <w:rPr>
      <w:rFonts w:cs="Times New Roman"/>
      <w:sz w:val="22"/>
      <w:szCs w:val="22"/>
    </w:rPr>
  </w:style>
  <w:style w:type="character" w:styleId="EncabezadoCar10" w:customStyle="1">
    <w:name w:val="Encabezado Car10"/>
    <w:basedOn w:val="DefaultParagraphFont"/>
    <w:uiPriority w:val="99"/>
    <w:qFormat/>
    <w:rPr>
      <w:rFonts w:cs="Times New Roman"/>
      <w:sz w:val="22"/>
      <w:szCs w:val="22"/>
    </w:rPr>
  </w:style>
  <w:style w:type="character" w:styleId="PiedepginaCar10" w:customStyle="1">
    <w:name w:val="Pie de página Car10"/>
    <w:basedOn w:val="DefaultParagraphFont"/>
    <w:uiPriority w:val="99"/>
    <w:qFormat/>
    <w:rPr>
      <w:rFonts w:cs="Times New Roman"/>
      <w:sz w:val="22"/>
      <w:szCs w:val="22"/>
    </w:rPr>
  </w:style>
  <w:style w:type="character" w:styleId="EncabezadoCar11" w:customStyle="1">
    <w:name w:val="Encabezado Car11"/>
    <w:basedOn w:val="DefaultParagraphFont"/>
    <w:uiPriority w:val="99"/>
    <w:qFormat/>
    <w:rPr>
      <w:rFonts w:cs="Times New Roman"/>
      <w:sz w:val="22"/>
      <w:szCs w:val="22"/>
    </w:rPr>
  </w:style>
  <w:style w:type="character" w:styleId="PiedepginaCar11" w:customStyle="1">
    <w:name w:val="Pie de página Car11"/>
    <w:basedOn w:val="DefaultParagraphFont"/>
    <w:uiPriority w:val="99"/>
    <w:qFormat/>
    <w:rPr>
      <w:rFonts w:cs="Times New Roman"/>
      <w:sz w:val="22"/>
      <w:szCs w:val="22"/>
    </w:rPr>
  </w:style>
  <w:style w:type="character" w:styleId="EncabezadoCar12" w:customStyle="1">
    <w:name w:val="Encabezado Car12"/>
    <w:basedOn w:val="DefaultParagraphFont"/>
    <w:uiPriority w:val="99"/>
    <w:qFormat/>
    <w:rPr>
      <w:rFonts w:cs="Times New Roman"/>
      <w:sz w:val="22"/>
      <w:szCs w:val="22"/>
    </w:rPr>
  </w:style>
  <w:style w:type="character" w:styleId="PiedepginaCar12" w:customStyle="1">
    <w:name w:val="Pie de página Car12"/>
    <w:basedOn w:val="DefaultParagraphFont"/>
    <w:uiPriority w:val="99"/>
    <w:qFormat/>
    <w:rPr>
      <w:rFonts w:cs="Times New Roman"/>
      <w:sz w:val="22"/>
      <w:szCs w:val="22"/>
    </w:rPr>
  </w:style>
  <w:style w:type="character" w:styleId="EncabezadoCar13" w:customStyle="1">
    <w:name w:val="Encabezado Car13"/>
    <w:basedOn w:val="DefaultParagraphFont"/>
    <w:uiPriority w:val="99"/>
    <w:qFormat/>
    <w:rPr>
      <w:rFonts w:cs="Times New Roman"/>
      <w:sz w:val="22"/>
      <w:szCs w:val="22"/>
    </w:rPr>
  </w:style>
  <w:style w:type="character" w:styleId="PiedepginaCar13" w:customStyle="1">
    <w:name w:val="Pie de página Car13"/>
    <w:basedOn w:val="DefaultParagraphFont"/>
    <w:uiPriority w:val="99"/>
    <w:qFormat/>
    <w:rPr>
      <w:rFonts w:cs="Times New Roman"/>
      <w:sz w:val="22"/>
      <w:szCs w:val="22"/>
    </w:rPr>
  </w:style>
  <w:style w:type="character" w:styleId="EncabezadoCar14" w:customStyle="1">
    <w:name w:val="Encabezado Car14"/>
    <w:basedOn w:val="DefaultParagraphFont"/>
    <w:uiPriority w:val="99"/>
    <w:qFormat/>
    <w:rPr>
      <w:rFonts w:cs="Times New Roman"/>
      <w:sz w:val="22"/>
      <w:szCs w:val="22"/>
    </w:rPr>
  </w:style>
  <w:style w:type="character" w:styleId="PiedepginaCar14" w:customStyle="1">
    <w:name w:val="Pie de página Car14"/>
    <w:basedOn w:val="DefaultParagraphFont"/>
    <w:uiPriority w:val="99"/>
    <w:qFormat/>
    <w:rPr>
      <w:rFonts w:cs="Times New Roman"/>
      <w:sz w:val="22"/>
      <w:szCs w:val="22"/>
    </w:rPr>
  </w:style>
  <w:style w:type="character" w:styleId="EncabezadoCar15" w:customStyle="1">
    <w:name w:val="Encabezado Car15"/>
    <w:basedOn w:val="DefaultParagraphFont"/>
    <w:uiPriority w:val="99"/>
    <w:qFormat/>
    <w:rPr>
      <w:rFonts w:cs="Times New Roman"/>
      <w:sz w:val="22"/>
      <w:szCs w:val="22"/>
    </w:rPr>
  </w:style>
  <w:style w:type="character" w:styleId="PiedepginaCar15" w:customStyle="1">
    <w:name w:val="Pie de página Car15"/>
    <w:basedOn w:val="DefaultParagraphFont"/>
    <w:uiPriority w:val="99"/>
    <w:qFormat/>
    <w:rPr>
      <w:rFonts w:cs="Times New Roman"/>
      <w:sz w:val="22"/>
      <w:szCs w:val="22"/>
    </w:rPr>
  </w:style>
  <w:style w:type="character" w:styleId="EncabezadoCar16" w:customStyle="1">
    <w:name w:val="Encabezado Car16"/>
    <w:basedOn w:val="DefaultParagraphFont"/>
    <w:uiPriority w:val="99"/>
    <w:qFormat/>
    <w:rPr>
      <w:rFonts w:cs="Times New Roman"/>
      <w:sz w:val="22"/>
      <w:szCs w:val="22"/>
    </w:rPr>
  </w:style>
  <w:style w:type="character" w:styleId="PiedepginaCar16" w:customStyle="1">
    <w:name w:val="Pie de página Car16"/>
    <w:basedOn w:val="DefaultParagraphFont"/>
    <w:uiPriority w:val="99"/>
    <w:qFormat/>
    <w:rPr>
      <w:rFonts w:cs="Times New Roman"/>
      <w:sz w:val="22"/>
      <w:szCs w:val="22"/>
    </w:rPr>
  </w:style>
  <w:style w:type="character" w:styleId="EncabezadoCar17" w:customStyle="1">
    <w:name w:val="Encabezado Car17"/>
    <w:basedOn w:val="DefaultParagraphFont"/>
    <w:uiPriority w:val="99"/>
    <w:qFormat/>
    <w:rPr>
      <w:rFonts w:cs="Times New Roman"/>
      <w:sz w:val="22"/>
      <w:szCs w:val="22"/>
    </w:rPr>
  </w:style>
  <w:style w:type="character" w:styleId="PiedepginaCar17" w:customStyle="1">
    <w:name w:val="Pie de página Car17"/>
    <w:basedOn w:val="DefaultParagraphFont"/>
    <w:uiPriority w:val="99"/>
    <w:qFormat/>
    <w:rPr>
      <w:rFonts w:cs="Times New Roman"/>
      <w:sz w:val="22"/>
      <w:szCs w:val="22"/>
    </w:rPr>
  </w:style>
  <w:style w:type="character" w:styleId="EncabezadoCar18" w:customStyle="1">
    <w:name w:val="Encabezado Car18"/>
    <w:basedOn w:val="DefaultParagraphFont"/>
    <w:uiPriority w:val="99"/>
    <w:qFormat/>
    <w:rPr>
      <w:rFonts w:cs="Times New Roman"/>
      <w:sz w:val="22"/>
      <w:szCs w:val="22"/>
    </w:rPr>
  </w:style>
  <w:style w:type="character" w:styleId="PiedepginaCar18" w:customStyle="1">
    <w:name w:val="Pie de página Car18"/>
    <w:basedOn w:val="DefaultParagraphFont"/>
    <w:uiPriority w:val="99"/>
    <w:qFormat/>
    <w:rPr>
      <w:rFonts w:cs="Times New Roman"/>
      <w:sz w:val="22"/>
      <w:szCs w:val="22"/>
    </w:rPr>
  </w:style>
  <w:style w:type="character" w:styleId="EncabezadoCar19" w:customStyle="1">
    <w:name w:val="Encabezado Car19"/>
    <w:basedOn w:val="DefaultParagraphFont"/>
    <w:uiPriority w:val="99"/>
    <w:qFormat/>
    <w:rPr>
      <w:rFonts w:cs="Times New Roman"/>
      <w:sz w:val="22"/>
      <w:szCs w:val="22"/>
    </w:rPr>
  </w:style>
  <w:style w:type="character" w:styleId="PiedepginaCar19" w:customStyle="1">
    <w:name w:val="Pie de página Car19"/>
    <w:basedOn w:val="DefaultParagraphFont"/>
    <w:uiPriority w:val="99"/>
    <w:qFormat/>
    <w:rPr>
      <w:rFonts w:cs="Times New Roman"/>
      <w:sz w:val="22"/>
      <w:szCs w:val="22"/>
    </w:rPr>
  </w:style>
  <w:style w:type="character" w:styleId="EncabezadoCar20" w:customStyle="1">
    <w:name w:val="Encabezado Car20"/>
    <w:basedOn w:val="DefaultParagraphFont"/>
    <w:uiPriority w:val="99"/>
    <w:qFormat/>
    <w:rPr>
      <w:rFonts w:cs="Times New Roman"/>
      <w:sz w:val="22"/>
      <w:szCs w:val="22"/>
    </w:rPr>
  </w:style>
  <w:style w:type="character" w:styleId="PiedepginaCar20" w:customStyle="1">
    <w:name w:val="Pie de página Car20"/>
    <w:basedOn w:val="DefaultParagraphFont"/>
    <w:uiPriority w:val="99"/>
    <w:qFormat/>
    <w:rPr>
      <w:rFonts w:cs="Times New Roman"/>
      <w:sz w:val="22"/>
      <w:szCs w:val="22"/>
    </w:rPr>
  </w:style>
  <w:style w:type="character" w:styleId="EncabezadoCar21" w:customStyle="1">
    <w:name w:val="Encabezado Car21"/>
    <w:basedOn w:val="DefaultParagraphFont"/>
    <w:uiPriority w:val="99"/>
    <w:qFormat/>
    <w:rPr>
      <w:rFonts w:cs="Times New Roman"/>
      <w:sz w:val="22"/>
      <w:szCs w:val="22"/>
    </w:rPr>
  </w:style>
  <w:style w:type="character" w:styleId="PiedepginaCar21" w:customStyle="1">
    <w:name w:val="Pie de página Car21"/>
    <w:basedOn w:val="DefaultParagraphFont"/>
    <w:uiPriority w:val="99"/>
    <w:qFormat/>
    <w:rPr>
      <w:rFonts w:cs="Times New Roman"/>
      <w:sz w:val="22"/>
      <w:szCs w:val="22"/>
    </w:rPr>
  </w:style>
  <w:style w:type="character" w:styleId="EncabezadoCar22" w:customStyle="1">
    <w:name w:val="Encabezado Car22"/>
    <w:basedOn w:val="DefaultParagraphFont"/>
    <w:uiPriority w:val="99"/>
    <w:qFormat/>
    <w:rPr>
      <w:rFonts w:cs="Times New Roman"/>
      <w:sz w:val="22"/>
      <w:szCs w:val="22"/>
    </w:rPr>
  </w:style>
  <w:style w:type="character" w:styleId="PiedepginaCar22" w:customStyle="1">
    <w:name w:val="Pie de página Car22"/>
    <w:basedOn w:val="DefaultParagraphFont"/>
    <w:uiPriority w:val="99"/>
    <w:qFormat/>
    <w:rPr>
      <w:rFonts w:cs="Times New Roman"/>
      <w:sz w:val="22"/>
      <w:szCs w:val="22"/>
    </w:rPr>
  </w:style>
  <w:style w:type="character" w:styleId="EncabezadoCar23" w:customStyle="1">
    <w:name w:val="Encabezado Car23"/>
    <w:basedOn w:val="DefaultParagraphFont"/>
    <w:uiPriority w:val="99"/>
    <w:qFormat/>
    <w:rPr>
      <w:rFonts w:cs="Times New Roman"/>
      <w:sz w:val="22"/>
      <w:szCs w:val="22"/>
    </w:rPr>
  </w:style>
  <w:style w:type="character" w:styleId="PiedepginaCar23" w:customStyle="1">
    <w:name w:val="Pie de página Car23"/>
    <w:basedOn w:val="DefaultParagraphFont"/>
    <w:uiPriority w:val="99"/>
    <w:qFormat/>
    <w:rPr>
      <w:rFonts w:cs="Times New Roman"/>
      <w:sz w:val="22"/>
      <w:szCs w:val="22"/>
    </w:rPr>
  </w:style>
  <w:style w:type="character" w:styleId="EncabezadoCar24" w:customStyle="1">
    <w:name w:val="Encabezado Car24"/>
    <w:basedOn w:val="DefaultParagraphFont"/>
    <w:uiPriority w:val="99"/>
    <w:qFormat/>
    <w:rPr>
      <w:rFonts w:cs="Times New Roman"/>
      <w:sz w:val="22"/>
      <w:szCs w:val="22"/>
    </w:rPr>
  </w:style>
  <w:style w:type="character" w:styleId="PiedepginaCar24" w:customStyle="1">
    <w:name w:val="Pie de página Car24"/>
    <w:basedOn w:val="DefaultParagraphFont"/>
    <w:uiPriority w:val="99"/>
    <w:qFormat/>
    <w:rPr>
      <w:rFonts w:cs="Times New Roman"/>
      <w:sz w:val="22"/>
      <w:szCs w:val="22"/>
    </w:rPr>
  </w:style>
  <w:style w:type="character" w:styleId="EncabezadoCar25" w:customStyle="1">
    <w:name w:val="Encabezado Car25"/>
    <w:basedOn w:val="DefaultParagraphFont"/>
    <w:uiPriority w:val="99"/>
    <w:qFormat/>
    <w:rPr>
      <w:rFonts w:cs="Times New Roman"/>
      <w:sz w:val="22"/>
      <w:szCs w:val="22"/>
    </w:rPr>
  </w:style>
  <w:style w:type="character" w:styleId="PiedepginaCar25" w:customStyle="1">
    <w:name w:val="Pie de página Car25"/>
    <w:basedOn w:val="DefaultParagraphFont"/>
    <w:uiPriority w:val="99"/>
    <w:qFormat/>
    <w:rPr>
      <w:rFonts w:cs="Times New Roman"/>
      <w:sz w:val="22"/>
      <w:szCs w:val="22"/>
    </w:rPr>
  </w:style>
  <w:style w:type="character" w:styleId="EncabezadoCar26" w:customStyle="1">
    <w:name w:val="Encabezado Car26"/>
    <w:basedOn w:val="DefaultParagraphFont"/>
    <w:uiPriority w:val="99"/>
    <w:qFormat/>
    <w:rPr>
      <w:rFonts w:cs="Times New Roman"/>
      <w:sz w:val="22"/>
      <w:szCs w:val="22"/>
    </w:rPr>
  </w:style>
  <w:style w:type="character" w:styleId="PiedepginaCar26" w:customStyle="1">
    <w:name w:val="Pie de página Car26"/>
    <w:basedOn w:val="DefaultParagraphFont"/>
    <w:uiPriority w:val="99"/>
    <w:qFormat/>
    <w:rPr>
      <w:rFonts w:cs="Times New Roman"/>
      <w:sz w:val="22"/>
      <w:szCs w:val="22"/>
    </w:rPr>
  </w:style>
  <w:style w:type="character" w:styleId="EncabezadoCar27" w:customStyle="1">
    <w:name w:val="Encabezado Car27"/>
    <w:basedOn w:val="DefaultParagraphFont"/>
    <w:uiPriority w:val="99"/>
    <w:qFormat/>
    <w:rPr>
      <w:rFonts w:cs="Times New Roman"/>
      <w:sz w:val="22"/>
      <w:szCs w:val="22"/>
    </w:rPr>
  </w:style>
  <w:style w:type="character" w:styleId="PiedepginaCar27" w:customStyle="1">
    <w:name w:val="Pie de página Car27"/>
    <w:basedOn w:val="DefaultParagraphFont"/>
    <w:uiPriority w:val="99"/>
    <w:qFormat/>
    <w:rPr>
      <w:rFonts w:cs="Times New Roman"/>
      <w:sz w:val="22"/>
      <w:szCs w:val="22"/>
    </w:rPr>
  </w:style>
  <w:style w:type="character" w:styleId="TextoindependienteCar" w:customStyle="1">
    <w:name w:val="Texto independiente Car"/>
    <w:basedOn w:val="DefaultParagraphFont"/>
    <w:qFormat/>
    <w:rsid w:val="001b7028"/>
    <w:rPr>
      <w:rFonts w:ascii="Times New Roman" w:hAnsi="Times New Roman" w:eastAsia="Times New Roman"/>
      <w:b/>
      <w:sz w:val="24"/>
      <w:szCs w:val="20"/>
      <w:lang w:val="es-ES_tradnl"/>
    </w:rPr>
  </w:style>
  <w:style w:type="paragraph" w:styleId="Ttulo">
    <w:name w:val="Título"/>
    <w:basedOn w:val="Normal"/>
    <w:next w:val="BodyText"/>
    <w:qFormat/>
    <w:pPr>
      <w:keepNext w:val="true"/>
      <w:spacing w:before="240" w:after="120"/>
    </w:pPr>
    <w:rPr>
      <w:rFonts w:ascii="AytoRoquetas Light Condensed" w:hAnsi="AytoRoquetas Light Condensed" w:eastAsia="Microsoft YaHei" w:cs="Arial Unicode MS"/>
      <w:sz w:val="28"/>
      <w:szCs w:val="28"/>
    </w:rPr>
  </w:style>
  <w:style w:type="paragraph" w:styleId="BodyText">
    <w:name w:val="Body Text"/>
    <w:basedOn w:val="Normal"/>
    <w:link w:val="TextoindependienteCar"/>
    <w:unhideWhenUsed/>
    <w:rsid w:val="001b7028"/>
    <w:pPr>
      <w:spacing w:lineRule="auto" w:line="240" w:before="0" w:after="0"/>
      <w:jc w:val="both"/>
    </w:pPr>
    <w:rPr>
      <w:rFonts w:ascii="Times New Roman" w:hAnsi="Times New Roman" w:eastAsia="Times New Roman" w:cs="Times New Roman"/>
      <w:b/>
      <w:sz w:val="24"/>
      <w:szCs w:val="20"/>
      <w:lang w:val="es-ES_tradnl"/>
    </w:rPr>
  </w:style>
  <w:style w:type="paragraph" w:styleId="List">
    <w:name w:val="List"/>
    <w:basedOn w:val="BodyText"/>
    <w:pPr/>
    <w:rPr>
      <w:rFonts w:ascii="AytoRoquetas Light Condensed" w:hAnsi="AytoRoquetas Light Condensed" w:cs="Arial Unicode MS"/>
    </w:rPr>
  </w:style>
  <w:style w:type="paragraph" w:styleId="Caption">
    <w:name w:val="Caption"/>
    <w:basedOn w:val="Normal"/>
    <w:qFormat/>
    <w:pPr>
      <w:suppressLineNumbers/>
      <w:spacing w:before="120" w:after="120"/>
    </w:pPr>
    <w:rPr>
      <w:rFonts w:ascii="AytoRoquetas Light Condensed" w:hAnsi="AytoRoquetas Light Condensed" w:cs="Arial Unicode MS"/>
      <w:i/>
      <w:iCs/>
      <w:sz w:val="24"/>
      <w:szCs w:val="24"/>
    </w:rPr>
  </w:style>
  <w:style w:type="paragraph" w:styleId="Ndice">
    <w:name w:val="Índice"/>
    <w:basedOn w:val="Normal"/>
    <w:qFormat/>
    <w:pPr>
      <w:suppressLineNumbers/>
    </w:pPr>
    <w:rPr>
      <w:rFonts w:ascii="AytoRoquetas Light Condensed" w:hAnsi="AytoRoquetas Light Condensed" w:cs="Arial Unicode MS"/>
    </w:rPr>
  </w:style>
  <w:style w:type="paragraph" w:styleId="Normal1" w:customStyle="1">
    <w:name w:val="[Normal]"/>
    <w:uiPriority w:val="99"/>
    <w:qFormat/>
    <w:pPr>
      <w:widowControl w:val="false"/>
      <w:bidi w:val="0"/>
      <w:spacing w:lineRule="auto" w:line="240" w:before="0" w:after="0"/>
      <w:jc w:val="left"/>
    </w:pPr>
    <w:rPr>
      <w:rFonts w:ascii="Arial" w:hAnsi="Arial" w:cs="Arial" w:eastAsia="" w:eastAsiaTheme="minorEastAsia"/>
      <w:color w:val="auto"/>
      <w:kern w:val="0"/>
      <w:sz w:val="24"/>
      <w:szCs w:val="24"/>
      <w:lang w:val="es-ES" w:eastAsia="es-ES" w:bidi="ar-SA"/>
    </w:rPr>
  </w:style>
  <w:style w:type="paragraph" w:styleId="Encabezado6" w:customStyle="1">
    <w:name w:val="Encabezado6"/>
    <w:basedOn w:val="Normal"/>
    <w:uiPriority w:val="99"/>
    <w:qFormat/>
    <w:pPr>
      <w:tabs>
        <w:tab w:val="clear" w:pos="1134"/>
        <w:tab w:val="center" w:pos="4252" w:leader="none"/>
        <w:tab w:val="right" w:pos="8504" w:leader="none"/>
      </w:tabs>
    </w:pPr>
    <w:rPr/>
  </w:style>
  <w:style w:type="paragraph" w:styleId="Encabezado22" w:customStyle="1">
    <w:name w:val="Encabezado22"/>
    <w:basedOn w:val="Normal"/>
    <w:uiPriority w:val="99"/>
    <w:qFormat/>
    <w:pPr>
      <w:tabs>
        <w:tab w:val="clear" w:pos="1134"/>
        <w:tab w:val="center" w:pos="4252" w:leader="none"/>
        <w:tab w:val="right" w:pos="8504" w:leader="none"/>
      </w:tabs>
    </w:pPr>
    <w:rPr/>
  </w:style>
  <w:style w:type="paragraph" w:styleId="Encabezado28" w:customStyle="1">
    <w:name w:val="Encabezado28"/>
    <w:basedOn w:val="Normal"/>
    <w:uiPriority w:val="99"/>
    <w:qFormat/>
    <w:pPr>
      <w:tabs>
        <w:tab w:val="clear" w:pos="1134"/>
        <w:tab w:val="center" w:pos="4252" w:leader="none"/>
        <w:tab w:val="right" w:pos="8504" w:leader="none"/>
      </w:tabs>
    </w:pPr>
    <w:rPr/>
  </w:style>
  <w:style w:type="paragraph" w:styleId="Cabeceraypie">
    <w:name w:val="Cabecera y pie"/>
    <w:basedOn w:val="Normal"/>
    <w:qFormat/>
    <w:pPr/>
    <w:rPr/>
  </w:style>
  <w:style w:type="paragraph" w:styleId="Header">
    <w:name w:val="Header"/>
    <w:basedOn w:val="Normal"/>
    <w:link w:val="EncabezadoCar"/>
    <w:uiPriority w:val="99"/>
    <w:pPr>
      <w:tabs>
        <w:tab w:val="clear" w:pos="1134"/>
        <w:tab w:val="center" w:pos="4252" w:leader="none"/>
        <w:tab w:val="right" w:pos="8504" w:leader="none"/>
      </w:tabs>
    </w:pPr>
    <w:rPr/>
  </w:style>
  <w:style w:type="paragraph" w:styleId="Encabezado27" w:customStyle="1">
    <w:name w:val="Encabezado27"/>
    <w:basedOn w:val="Normal"/>
    <w:uiPriority w:val="99"/>
    <w:qFormat/>
    <w:pPr>
      <w:tabs>
        <w:tab w:val="clear" w:pos="1134"/>
        <w:tab w:val="center" w:pos="4252" w:leader="none"/>
        <w:tab w:val="right" w:pos="8504" w:leader="none"/>
      </w:tabs>
    </w:pPr>
    <w:rPr/>
  </w:style>
  <w:style w:type="paragraph" w:styleId="Encabezado26" w:customStyle="1">
    <w:name w:val="Encabezado26"/>
    <w:basedOn w:val="Normal"/>
    <w:uiPriority w:val="99"/>
    <w:qFormat/>
    <w:pPr>
      <w:tabs>
        <w:tab w:val="clear" w:pos="1134"/>
        <w:tab w:val="center" w:pos="4252" w:leader="none"/>
        <w:tab w:val="right" w:pos="8504" w:leader="none"/>
      </w:tabs>
    </w:pPr>
    <w:rPr/>
  </w:style>
  <w:style w:type="paragraph" w:styleId="Encabezado25" w:customStyle="1">
    <w:name w:val="Encabezado25"/>
    <w:basedOn w:val="Normal"/>
    <w:uiPriority w:val="99"/>
    <w:qFormat/>
    <w:pPr>
      <w:tabs>
        <w:tab w:val="clear" w:pos="1134"/>
        <w:tab w:val="center" w:pos="4252" w:leader="none"/>
        <w:tab w:val="right" w:pos="8504" w:leader="none"/>
      </w:tabs>
    </w:pPr>
    <w:rPr/>
  </w:style>
  <w:style w:type="paragraph" w:styleId="Encabezado2" w:customStyle="1">
    <w:name w:val="Encabezado2"/>
    <w:basedOn w:val="Normal"/>
    <w:uiPriority w:val="99"/>
    <w:qFormat/>
    <w:pPr>
      <w:tabs>
        <w:tab w:val="clear" w:pos="1134"/>
        <w:tab w:val="center" w:pos="4252" w:leader="none"/>
        <w:tab w:val="right" w:pos="8504" w:leader="none"/>
      </w:tabs>
      <w:spacing w:lineRule="atLeast" w:line="240" w:before="0" w:after="0"/>
    </w:pPr>
    <w:rPr/>
  </w:style>
  <w:style w:type="paragraph" w:styleId="Encabezado24" w:customStyle="1">
    <w:name w:val="Encabezado24"/>
    <w:basedOn w:val="Normal"/>
    <w:uiPriority w:val="99"/>
    <w:qFormat/>
    <w:pPr>
      <w:tabs>
        <w:tab w:val="clear" w:pos="1134"/>
        <w:tab w:val="center" w:pos="4252" w:leader="none"/>
        <w:tab w:val="right" w:pos="8504" w:leader="none"/>
      </w:tabs>
    </w:pPr>
    <w:rPr/>
  </w:style>
  <w:style w:type="paragraph" w:styleId="Encabezado23" w:customStyle="1">
    <w:name w:val="Encabezado23"/>
    <w:basedOn w:val="Normal"/>
    <w:uiPriority w:val="99"/>
    <w:qFormat/>
    <w:pPr>
      <w:tabs>
        <w:tab w:val="clear" w:pos="1134"/>
        <w:tab w:val="center" w:pos="4252" w:leader="none"/>
        <w:tab w:val="right" w:pos="8504" w:leader="none"/>
      </w:tabs>
    </w:pPr>
    <w:rPr/>
  </w:style>
  <w:style w:type="paragraph" w:styleId="Encabezado21" w:customStyle="1">
    <w:name w:val="Encabezado21"/>
    <w:basedOn w:val="Normal"/>
    <w:uiPriority w:val="99"/>
    <w:qFormat/>
    <w:pPr>
      <w:tabs>
        <w:tab w:val="clear" w:pos="1134"/>
        <w:tab w:val="center" w:pos="4252" w:leader="none"/>
        <w:tab w:val="right" w:pos="8504" w:leader="none"/>
      </w:tabs>
    </w:pPr>
    <w:rPr/>
  </w:style>
  <w:style w:type="paragraph" w:styleId="Encabezado20" w:customStyle="1">
    <w:name w:val="Encabezado20"/>
    <w:basedOn w:val="Normal"/>
    <w:uiPriority w:val="99"/>
    <w:qFormat/>
    <w:pPr>
      <w:tabs>
        <w:tab w:val="clear" w:pos="1134"/>
        <w:tab w:val="center" w:pos="4252" w:leader="none"/>
        <w:tab w:val="right" w:pos="8504" w:leader="none"/>
      </w:tabs>
    </w:pPr>
    <w:rPr/>
  </w:style>
  <w:style w:type="paragraph" w:styleId="Encabezado19" w:customStyle="1">
    <w:name w:val="Encabezado19"/>
    <w:basedOn w:val="Normal"/>
    <w:uiPriority w:val="99"/>
    <w:qFormat/>
    <w:pPr>
      <w:tabs>
        <w:tab w:val="clear" w:pos="1134"/>
        <w:tab w:val="center" w:pos="4252" w:leader="none"/>
        <w:tab w:val="right" w:pos="8504" w:leader="none"/>
      </w:tabs>
    </w:pPr>
    <w:rPr/>
  </w:style>
  <w:style w:type="paragraph" w:styleId="Encabezado18" w:customStyle="1">
    <w:name w:val="Encabezado18"/>
    <w:basedOn w:val="Normal"/>
    <w:uiPriority w:val="99"/>
    <w:qFormat/>
    <w:pPr>
      <w:tabs>
        <w:tab w:val="clear" w:pos="1134"/>
        <w:tab w:val="center" w:pos="4252" w:leader="none"/>
        <w:tab w:val="right" w:pos="8504" w:leader="none"/>
      </w:tabs>
    </w:pPr>
    <w:rPr/>
  </w:style>
  <w:style w:type="paragraph" w:styleId="Encabezado17" w:customStyle="1">
    <w:name w:val="Encabezado17"/>
    <w:basedOn w:val="Normal"/>
    <w:uiPriority w:val="99"/>
    <w:qFormat/>
    <w:pPr>
      <w:tabs>
        <w:tab w:val="clear" w:pos="1134"/>
        <w:tab w:val="center" w:pos="4252" w:leader="none"/>
        <w:tab w:val="right" w:pos="8504" w:leader="none"/>
      </w:tabs>
    </w:pPr>
    <w:rPr/>
  </w:style>
  <w:style w:type="paragraph" w:styleId="Encabezado16" w:customStyle="1">
    <w:name w:val="Encabezado16"/>
    <w:basedOn w:val="Normal"/>
    <w:uiPriority w:val="99"/>
    <w:qFormat/>
    <w:pPr>
      <w:tabs>
        <w:tab w:val="clear" w:pos="1134"/>
        <w:tab w:val="center" w:pos="4252" w:leader="none"/>
        <w:tab w:val="right" w:pos="8504" w:leader="none"/>
      </w:tabs>
    </w:pPr>
    <w:rPr/>
  </w:style>
  <w:style w:type="paragraph" w:styleId="Encabezado15" w:customStyle="1">
    <w:name w:val="Encabezado15"/>
    <w:basedOn w:val="Normal"/>
    <w:uiPriority w:val="99"/>
    <w:qFormat/>
    <w:pPr>
      <w:tabs>
        <w:tab w:val="clear" w:pos="1134"/>
        <w:tab w:val="center" w:pos="4252" w:leader="none"/>
        <w:tab w:val="right" w:pos="8504" w:leader="none"/>
      </w:tabs>
    </w:pPr>
    <w:rPr/>
  </w:style>
  <w:style w:type="paragraph" w:styleId="Encabezado14" w:customStyle="1">
    <w:name w:val="Encabezado14"/>
    <w:basedOn w:val="Normal"/>
    <w:uiPriority w:val="99"/>
    <w:qFormat/>
    <w:pPr>
      <w:tabs>
        <w:tab w:val="clear" w:pos="1134"/>
        <w:tab w:val="center" w:pos="4252" w:leader="none"/>
        <w:tab w:val="right" w:pos="8504" w:leader="none"/>
      </w:tabs>
    </w:pPr>
    <w:rPr/>
  </w:style>
  <w:style w:type="paragraph" w:styleId="Encabezado13" w:customStyle="1">
    <w:name w:val="Encabezado13"/>
    <w:basedOn w:val="Normal"/>
    <w:uiPriority w:val="99"/>
    <w:qFormat/>
    <w:pPr>
      <w:tabs>
        <w:tab w:val="clear" w:pos="1134"/>
        <w:tab w:val="center" w:pos="4252" w:leader="none"/>
        <w:tab w:val="right" w:pos="8504" w:leader="none"/>
      </w:tabs>
    </w:pPr>
    <w:rPr/>
  </w:style>
  <w:style w:type="paragraph" w:styleId="Encabezado12" w:customStyle="1">
    <w:name w:val="Encabezado12"/>
    <w:basedOn w:val="Normal"/>
    <w:uiPriority w:val="99"/>
    <w:qFormat/>
    <w:pPr>
      <w:tabs>
        <w:tab w:val="clear" w:pos="1134"/>
        <w:tab w:val="center" w:pos="4252" w:leader="none"/>
        <w:tab w:val="right" w:pos="8504" w:leader="none"/>
      </w:tabs>
    </w:pPr>
    <w:rPr/>
  </w:style>
  <w:style w:type="paragraph" w:styleId="Encabezado11" w:customStyle="1">
    <w:name w:val="Encabezado11"/>
    <w:basedOn w:val="Normal"/>
    <w:uiPriority w:val="99"/>
    <w:qFormat/>
    <w:pPr>
      <w:tabs>
        <w:tab w:val="clear" w:pos="1134"/>
        <w:tab w:val="center" w:pos="4252" w:leader="none"/>
        <w:tab w:val="right" w:pos="8504" w:leader="none"/>
      </w:tabs>
    </w:pPr>
    <w:rPr/>
  </w:style>
  <w:style w:type="paragraph" w:styleId="Encabezado1" w:customStyle="1">
    <w:name w:val="Encabezado1"/>
    <w:basedOn w:val="Normal"/>
    <w:uiPriority w:val="99"/>
    <w:qFormat/>
    <w:pPr>
      <w:tabs>
        <w:tab w:val="clear" w:pos="1134"/>
        <w:tab w:val="center" w:pos="4252" w:leader="none"/>
        <w:tab w:val="right" w:pos="8504" w:leader="none"/>
      </w:tabs>
      <w:spacing w:lineRule="atLeast" w:line="240" w:before="0" w:after="0"/>
    </w:pPr>
    <w:rPr>
      <w:rFonts w:ascii="Times New Roman" w:hAnsi="Times New Roman" w:cs="Times New Roman"/>
      <w:sz w:val="20"/>
      <w:szCs w:val="20"/>
    </w:rPr>
  </w:style>
  <w:style w:type="paragraph" w:styleId="Encabezado10" w:customStyle="1">
    <w:name w:val="Encabezado10"/>
    <w:basedOn w:val="Normal"/>
    <w:uiPriority w:val="99"/>
    <w:qFormat/>
    <w:pPr>
      <w:tabs>
        <w:tab w:val="clear" w:pos="1134"/>
        <w:tab w:val="center" w:pos="4252" w:leader="none"/>
        <w:tab w:val="right" w:pos="8504" w:leader="none"/>
      </w:tabs>
    </w:pPr>
    <w:rPr/>
  </w:style>
  <w:style w:type="paragraph" w:styleId="Encabezado9" w:customStyle="1">
    <w:name w:val="Encabezado9"/>
    <w:basedOn w:val="Normal"/>
    <w:uiPriority w:val="99"/>
    <w:qFormat/>
    <w:pPr>
      <w:tabs>
        <w:tab w:val="clear" w:pos="1134"/>
        <w:tab w:val="center" w:pos="4252" w:leader="none"/>
        <w:tab w:val="right" w:pos="8504" w:leader="none"/>
      </w:tabs>
    </w:pPr>
    <w:rPr/>
  </w:style>
  <w:style w:type="paragraph" w:styleId="Piedepgina3" w:customStyle="1">
    <w:name w:val="Pie de página3"/>
    <w:basedOn w:val="Normal"/>
    <w:uiPriority w:val="99"/>
    <w:qFormat/>
    <w:pPr>
      <w:tabs>
        <w:tab w:val="clear" w:pos="1134"/>
        <w:tab w:val="center" w:pos="4252" w:leader="none"/>
        <w:tab w:val="right" w:pos="8504" w:leader="none"/>
      </w:tabs>
    </w:pPr>
    <w:rPr/>
  </w:style>
  <w:style w:type="paragraph" w:styleId="Encabezado8" w:customStyle="1">
    <w:name w:val="Encabezado8"/>
    <w:basedOn w:val="Normal"/>
    <w:uiPriority w:val="99"/>
    <w:qFormat/>
    <w:pPr>
      <w:tabs>
        <w:tab w:val="clear" w:pos="1134"/>
        <w:tab w:val="center" w:pos="4252" w:leader="none"/>
        <w:tab w:val="right" w:pos="8504" w:leader="none"/>
      </w:tabs>
    </w:pPr>
    <w:rPr/>
  </w:style>
  <w:style w:type="paragraph" w:styleId="Encabezado7" w:customStyle="1">
    <w:name w:val="Encabezado7"/>
    <w:basedOn w:val="Normal"/>
    <w:uiPriority w:val="99"/>
    <w:qFormat/>
    <w:pPr>
      <w:tabs>
        <w:tab w:val="clear" w:pos="1134"/>
        <w:tab w:val="center" w:pos="4252" w:leader="none"/>
        <w:tab w:val="right" w:pos="8504" w:leader="none"/>
      </w:tabs>
    </w:pPr>
    <w:rPr/>
  </w:style>
  <w:style w:type="paragraph" w:styleId="Encabezado5" w:customStyle="1">
    <w:name w:val="Encabezado5"/>
    <w:basedOn w:val="Normal"/>
    <w:uiPriority w:val="99"/>
    <w:qFormat/>
    <w:pPr>
      <w:tabs>
        <w:tab w:val="clear" w:pos="1134"/>
        <w:tab w:val="center" w:pos="4252" w:leader="none"/>
        <w:tab w:val="right" w:pos="8504" w:leader="none"/>
      </w:tabs>
    </w:pPr>
    <w:rPr/>
  </w:style>
  <w:style w:type="paragraph" w:styleId="Encabezado4" w:customStyle="1">
    <w:name w:val="Encabezado4"/>
    <w:basedOn w:val="Normal"/>
    <w:uiPriority w:val="99"/>
    <w:qFormat/>
    <w:pPr>
      <w:tabs>
        <w:tab w:val="clear" w:pos="1134"/>
        <w:tab w:val="center" w:pos="4252" w:leader="none"/>
        <w:tab w:val="right" w:pos="8504" w:leader="none"/>
      </w:tabs>
    </w:pPr>
    <w:rPr/>
  </w:style>
  <w:style w:type="paragraph" w:styleId="Encabezado3" w:customStyle="1">
    <w:name w:val="Encabezado3"/>
    <w:basedOn w:val="Normal"/>
    <w:uiPriority w:val="99"/>
    <w:qFormat/>
    <w:pPr>
      <w:tabs>
        <w:tab w:val="clear" w:pos="1134"/>
        <w:tab w:val="center" w:pos="4252" w:leader="none"/>
        <w:tab w:val="right" w:pos="8504" w:leader="none"/>
      </w:tabs>
    </w:pPr>
    <w:rPr/>
  </w:style>
  <w:style w:type="paragraph" w:styleId="Piedepgina1" w:customStyle="1">
    <w:name w:val="Pie de página1"/>
    <w:basedOn w:val="Normal"/>
    <w:uiPriority w:val="99"/>
    <w:qFormat/>
    <w:pPr>
      <w:tabs>
        <w:tab w:val="clear" w:pos="1134"/>
        <w:tab w:val="center" w:pos="4252" w:leader="none"/>
        <w:tab w:val="right" w:pos="8504" w:leader="none"/>
      </w:tabs>
      <w:spacing w:lineRule="atLeast" w:line="240" w:before="0" w:after="0"/>
    </w:pPr>
    <w:rPr/>
  </w:style>
  <w:style w:type="paragraph" w:styleId="Piedepgina2" w:customStyle="1">
    <w:name w:val="Pie de página2"/>
    <w:basedOn w:val="Normal"/>
    <w:uiPriority w:val="99"/>
    <w:qFormat/>
    <w:pPr>
      <w:tabs>
        <w:tab w:val="clear" w:pos="1134"/>
        <w:tab w:val="center" w:pos="4252" w:leader="none"/>
        <w:tab w:val="right" w:pos="8504" w:leader="none"/>
      </w:tabs>
    </w:pPr>
    <w:rPr/>
  </w:style>
  <w:style w:type="paragraph" w:styleId="BalloonText">
    <w:name w:val="Balloon Text"/>
    <w:basedOn w:val="Normal"/>
    <w:link w:val="TextodegloboCar"/>
    <w:uiPriority w:val="99"/>
    <w:qFormat/>
    <w:pPr>
      <w:spacing w:lineRule="atLeast" w:line="240" w:before="0" w:after="0"/>
    </w:pPr>
    <w:rPr>
      <w:rFonts w:ascii="Tahoma" w:hAnsi="Tahoma" w:cs="Tahoma"/>
      <w:sz w:val="16"/>
      <w:szCs w:val="16"/>
    </w:rPr>
  </w:style>
  <w:style w:type="paragraph" w:styleId="Piedepgina4" w:customStyle="1">
    <w:name w:val="Pie de página4"/>
    <w:basedOn w:val="Normal"/>
    <w:uiPriority w:val="99"/>
    <w:qFormat/>
    <w:pPr>
      <w:tabs>
        <w:tab w:val="clear" w:pos="1134"/>
        <w:tab w:val="center" w:pos="4252" w:leader="none"/>
        <w:tab w:val="right" w:pos="8504" w:leader="none"/>
      </w:tabs>
    </w:pPr>
    <w:rPr/>
  </w:style>
  <w:style w:type="paragraph" w:styleId="Piedepgina5" w:customStyle="1">
    <w:name w:val="Pie de página5"/>
    <w:basedOn w:val="Normal"/>
    <w:uiPriority w:val="99"/>
    <w:qFormat/>
    <w:pPr>
      <w:tabs>
        <w:tab w:val="clear" w:pos="1134"/>
        <w:tab w:val="center" w:pos="4252" w:leader="none"/>
        <w:tab w:val="right" w:pos="8504" w:leader="none"/>
      </w:tabs>
    </w:pPr>
    <w:rPr/>
  </w:style>
  <w:style w:type="paragraph" w:styleId="Piedepgina6" w:customStyle="1">
    <w:name w:val="Pie de página6"/>
    <w:basedOn w:val="Normal"/>
    <w:uiPriority w:val="99"/>
    <w:qFormat/>
    <w:pPr>
      <w:tabs>
        <w:tab w:val="clear" w:pos="1134"/>
        <w:tab w:val="center" w:pos="4252" w:leader="none"/>
        <w:tab w:val="right" w:pos="8504" w:leader="none"/>
      </w:tabs>
    </w:pPr>
    <w:rPr/>
  </w:style>
  <w:style w:type="paragraph" w:styleId="Piedepgina7" w:customStyle="1">
    <w:name w:val="Pie de página7"/>
    <w:basedOn w:val="Normal"/>
    <w:uiPriority w:val="99"/>
    <w:qFormat/>
    <w:pPr>
      <w:tabs>
        <w:tab w:val="clear" w:pos="1134"/>
        <w:tab w:val="center" w:pos="4252" w:leader="none"/>
        <w:tab w:val="right" w:pos="8504" w:leader="none"/>
      </w:tabs>
    </w:pPr>
    <w:rPr/>
  </w:style>
  <w:style w:type="paragraph" w:styleId="Piedepgina8" w:customStyle="1">
    <w:name w:val="Pie de página8"/>
    <w:basedOn w:val="Normal"/>
    <w:uiPriority w:val="99"/>
    <w:qFormat/>
    <w:pPr>
      <w:tabs>
        <w:tab w:val="clear" w:pos="1134"/>
        <w:tab w:val="center" w:pos="4252" w:leader="none"/>
        <w:tab w:val="right" w:pos="8504" w:leader="none"/>
      </w:tabs>
    </w:pPr>
    <w:rPr/>
  </w:style>
  <w:style w:type="paragraph" w:styleId="Piedepgina9" w:customStyle="1">
    <w:name w:val="Pie de página9"/>
    <w:basedOn w:val="Normal"/>
    <w:uiPriority w:val="99"/>
    <w:qFormat/>
    <w:pPr>
      <w:tabs>
        <w:tab w:val="clear" w:pos="1134"/>
        <w:tab w:val="center" w:pos="4252" w:leader="none"/>
        <w:tab w:val="right" w:pos="8504" w:leader="none"/>
      </w:tabs>
    </w:pPr>
    <w:rPr/>
  </w:style>
  <w:style w:type="paragraph" w:styleId="Piedepgina10" w:customStyle="1">
    <w:name w:val="Pie de página10"/>
    <w:basedOn w:val="Normal"/>
    <w:uiPriority w:val="99"/>
    <w:qFormat/>
    <w:pPr>
      <w:tabs>
        <w:tab w:val="clear" w:pos="1134"/>
        <w:tab w:val="center" w:pos="4252" w:leader="none"/>
        <w:tab w:val="right" w:pos="8504" w:leader="none"/>
      </w:tabs>
    </w:pPr>
    <w:rPr/>
  </w:style>
  <w:style w:type="paragraph" w:styleId="Piedepgina11" w:customStyle="1">
    <w:name w:val="Pie de página11"/>
    <w:basedOn w:val="Normal"/>
    <w:uiPriority w:val="99"/>
    <w:qFormat/>
    <w:pPr>
      <w:tabs>
        <w:tab w:val="clear" w:pos="1134"/>
        <w:tab w:val="center" w:pos="4252" w:leader="none"/>
        <w:tab w:val="right" w:pos="8504" w:leader="none"/>
      </w:tabs>
    </w:pPr>
    <w:rPr/>
  </w:style>
  <w:style w:type="paragraph" w:styleId="Piedepgina12" w:customStyle="1">
    <w:name w:val="Pie de página12"/>
    <w:basedOn w:val="Normal"/>
    <w:uiPriority w:val="99"/>
    <w:qFormat/>
    <w:pPr>
      <w:tabs>
        <w:tab w:val="clear" w:pos="1134"/>
        <w:tab w:val="center" w:pos="4252" w:leader="none"/>
        <w:tab w:val="right" w:pos="8504" w:leader="none"/>
      </w:tabs>
    </w:pPr>
    <w:rPr/>
  </w:style>
  <w:style w:type="paragraph" w:styleId="Piedepgina13" w:customStyle="1">
    <w:name w:val="Pie de página13"/>
    <w:basedOn w:val="Normal"/>
    <w:uiPriority w:val="99"/>
    <w:qFormat/>
    <w:pPr>
      <w:tabs>
        <w:tab w:val="clear" w:pos="1134"/>
        <w:tab w:val="center" w:pos="4252" w:leader="none"/>
        <w:tab w:val="right" w:pos="8504" w:leader="none"/>
      </w:tabs>
    </w:pPr>
    <w:rPr/>
  </w:style>
  <w:style w:type="paragraph" w:styleId="Piedepgina14" w:customStyle="1">
    <w:name w:val="Pie de página14"/>
    <w:basedOn w:val="Normal"/>
    <w:uiPriority w:val="99"/>
    <w:qFormat/>
    <w:pPr>
      <w:tabs>
        <w:tab w:val="clear" w:pos="1134"/>
        <w:tab w:val="center" w:pos="4252" w:leader="none"/>
        <w:tab w:val="right" w:pos="8504" w:leader="none"/>
      </w:tabs>
    </w:pPr>
    <w:rPr/>
  </w:style>
  <w:style w:type="paragraph" w:styleId="Piedepgina15" w:customStyle="1">
    <w:name w:val="Pie de página15"/>
    <w:basedOn w:val="Normal"/>
    <w:uiPriority w:val="99"/>
    <w:qFormat/>
    <w:pPr>
      <w:tabs>
        <w:tab w:val="clear" w:pos="1134"/>
        <w:tab w:val="center" w:pos="4252" w:leader="none"/>
        <w:tab w:val="right" w:pos="8504" w:leader="none"/>
      </w:tabs>
    </w:pPr>
    <w:rPr/>
  </w:style>
  <w:style w:type="paragraph" w:styleId="Piedepgina16" w:customStyle="1">
    <w:name w:val="Pie de página16"/>
    <w:basedOn w:val="Normal"/>
    <w:uiPriority w:val="99"/>
    <w:qFormat/>
    <w:pPr>
      <w:tabs>
        <w:tab w:val="clear" w:pos="1134"/>
        <w:tab w:val="center" w:pos="4252" w:leader="none"/>
        <w:tab w:val="right" w:pos="8504" w:leader="none"/>
      </w:tabs>
    </w:pPr>
    <w:rPr/>
  </w:style>
  <w:style w:type="paragraph" w:styleId="Piedepgina17" w:customStyle="1">
    <w:name w:val="Pie de página17"/>
    <w:basedOn w:val="Normal"/>
    <w:uiPriority w:val="99"/>
    <w:qFormat/>
    <w:pPr>
      <w:tabs>
        <w:tab w:val="clear" w:pos="1134"/>
        <w:tab w:val="center" w:pos="4252" w:leader="none"/>
        <w:tab w:val="right" w:pos="8504" w:leader="none"/>
      </w:tabs>
    </w:pPr>
    <w:rPr/>
  </w:style>
  <w:style w:type="paragraph" w:styleId="Piedepgina18" w:customStyle="1">
    <w:name w:val="Pie de página18"/>
    <w:basedOn w:val="Normal"/>
    <w:uiPriority w:val="99"/>
    <w:qFormat/>
    <w:pPr>
      <w:tabs>
        <w:tab w:val="clear" w:pos="1134"/>
        <w:tab w:val="center" w:pos="4252" w:leader="none"/>
        <w:tab w:val="right" w:pos="8504" w:leader="none"/>
      </w:tabs>
    </w:pPr>
    <w:rPr/>
  </w:style>
  <w:style w:type="paragraph" w:styleId="Piedepgina19" w:customStyle="1">
    <w:name w:val="Pie de página19"/>
    <w:basedOn w:val="Normal"/>
    <w:uiPriority w:val="99"/>
    <w:qFormat/>
    <w:pPr>
      <w:tabs>
        <w:tab w:val="clear" w:pos="1134"/>
        <w:tab w:val="center" w:pos="4252" w:leader="none"/>
        <w:tab w:val="right" w:pos="8504" w:leader="none"/>
      </w:tabs>
    </w:pPr>
    <w:rPr/>
  </w:style>
  <w:style w:type="paragraph" w:styleId="Piedepgina20" w:customStyle="1">
    <w:name w:val="Pie de página20"/>
    <w:basedOn w:val="Normal"/>
    <w:uiPriority w:val="99"/>
    <w:qFormat/>
    <w:pPr>
      <w:tabs>
        <w:tab w:val="clear" w:pos="1134"/>
        <w:tab w:val="center" w:pos="4252" w:leader="none"/>
        <w:tab w:val="right" w:pos="8504" w:leader="none"/>
      </w:tabs>
    </w:pPr>
    <w:rPr/>
  </w:style>
  <w:style w:type="paragraph" w:styleId="Piedepgina21" w:customStyle="1">
    <w:name w:val="Pie de página21"/>
    <w:basedOn w:val="Normal"/>
    <w:uiPriority w:val="99"/>
    <w:qFormat/>
    <w:pPr>
      <w:tabs>
        <w:tab w:val="clear" w:pos="1134"/>
        <w:tab w:val="center" w:pos="4252" w:leader="none"/>
        <w:tab w:val="right" w:pos="8504" w:leader="none"/>
      </w:tabs>
    </w:pPr>
    <w:rPr/>
  </w:style>
  <w:style w:type="paragraph" w:styleId="Piedepgina22" w:customStyle="1">
    <w:name w:val="Pie de página22"/>
    <w:basedOn w:val="Normal"/>
    <w:uiPriority w:val="99"/>
    <w:qFormat/>
    <w:pPr>
      <w:tabs>
        <w:tab w:val="clear" w:pos="1134"/>
        <w:tab w:val="center" w:pos="4252" w:leader="none"/>
        <w:tab w:val="right" w:pos="8504" w:leader="none"/>
      </w:tabs>
    </w:pPr>
    <w:rPr/>
  </w:style>
  <w:style w:type="paragraph" w:styleId="Piedepgina23" w:customStyle="1">
    <w:name w:val="Pie de página23"/>
    <w:basedOn w:val="Normal"/>
    <w:uiPriority w:val="99"/>
    <w:qFormat/>
    <w:pPr>
      <w:tabs>
        <w:tab w:val="clear" w:pos="1134"/>
        <w:tab w:val="center" w:pos="4252" w:leader="none"/>
        <w:tab w:val="right" w:pos="8504" w:leader="none"/>
      </w:tabs>
    </w:pPr>
    <w:rPr/>
  </w:style>
  <w:style w:type="paragraph" w:styleId="Piedepgina24" w:customStyle="1">
    <w:name w:val="Pie de página24"/>
    <w:basedOn w:val="Normal"/>
    <w:uiPriority w:val="99"/>
    <w:qFormat/>
    <w:pPr>
      <w:tabs>
        <w:tab w:val="clear" w:pos="1134"/>
        <w:tab w:val="center" w:pos="4252" w:leader="none"/>
        <w:tab w:val="right" w:pos="8504" w:leader="none"/>
      </w:tabs>
    </w:pPr>
    <w:rPr/>
  </w:style>
  <w:style w:type="paragraph" w:styleId="Piedepgina25" w:customStyle="1">
    <w:name w:val="Pie de página25"/>
    <w:basedOn w:val="Normal"/>
    <w:uiPriority w:val="99"/>
    <w:qFormat/>
    <w:pPr>
      <w:tabs>
        <w:tab w:val="clear" w:pos="1134"/>
        <w:tab w:val="center" w:pos="4252" w:leader="none"/>
        <w:tab w:val="right" w:pos="8504" w:leader="none"/>
      </w:tabs>
    </w:pPr>
    <w:rPr/>
  </w:style>
  <w:style w:type="paragraph" w:styleId="Piedepgina26" w:customStyle="1">
    <w:name w:val="Pie de página26"/>
    <w:basedOn w:val="Normal"/>
    <w:uiPriority w:val="99"/>
    <w:qFormat/>
    <w:pPr>
      <w:tabs>
        <w:tab w:val="clear" w:pos="1134"/>
        <w:tab w:val="center" w:pos="4252" w:leader="none"/>
        <w:tab w:val="right" w:pos="8504" w:leader="none"/>
      </w:tabs>
    </w:pPr>
    <w:rPr/>
  </w:style>
  <w:style w:type="paragraph" w:styleId="Piedepgina27" w:customStyle="1">
    <w:name w:val="Pie de página27"/>
    <w:basedOn w:val="Normal"/>
    <w:uiPriority w:val="99"/>
    <w:qFormat/>
    <w:pPr>
      <w:tabs>
        <w:tab w:val="clear" w:pos="1134"/>
        <w:tab w:val="center" w:pos="4252" w:leader="none"/>
        <w:tab w:val="right" w:pos="8504" w:leader="none"/>
      </w:tabs>
    </w:pPr>
    <w:rPr/>
  </w:style>
  <w:style w:type="paragraph" w:styleId="Footer">
    <w:name w:val="Footer"/>
    <w:basedOn w:val="Normal"/>
    <w:link w:val="PiedepginaCar1"/>
    <w:uiPriority w:val="99"/>
    <w:pPr>
      <w:tabs>
        <w:tab w:val="clear" w:pos="1134"/>
        <w:tab w:val="center" w:pos="4252" w:leader="none"/>
        <w:tab w:val="right" w:pos="8504" w:leader="none"/>
      </w:tabs>
    </w:pPr>
    <w:rPr/>
  </w:style>
  <w:style w:type="paragraph" w:styleId="FreeForm" w:customStyle="1">
    <w:name w:val="Free Form"/>
    <w:qFormat/>
    <w:rsid w:val="00832717"/>
    <w:pPr>
      <w:widowControl/>
      <w:bidi w:val="0"/>
      <w:spacing w:lineRule="auto" w:line="240" w:before="0" w:after="0"/>
      <w:jc w:val="left"/>
    </w:pPr>
    <w:rPr>
      <w:rFonts w:ascii="Times New Roman" w:hAnsi="Times New Roman" w:eastAsia="Times New Roman" w:cs="Times New Roman"/>
      <w:color w:val="000000"/>
      <w:kern w:val="0"/>
      <w:sz w:val="20"/>
      <w:szCs w:val="20"/>
      <w:lang w:val="es-ES" w:eastAsia="es-ES" w:bidi="ar-SA"/>
    </w:rPr>
  </w:style>
  <w:style w:type="paragraph" w:styleId="Predeterminado" w:customStyle="1">
    <w:name w:val="Predeterminado"/>
    <w:qFormat/>
    <w:rsid w:val="00832717"/>
    <w:pPr>
      <w:widowControl/>
      <w:suppressAutoHyphens w:val="true"/>
      <w:bidi w:val="0"/>
      <w:spacing w:lineRule="auto" w:line="240" w:before="0" w:after="0"/>
      <w:jc w:val="left"/>
    </w:pPr>
    <w:rPr>
      <w:rFonts w:ascii="Book Antiqua Bold" w:hAnsi="Book Antiqua Bold" w:eastAsia="Times New Roman" w:cs="Times New Roman"/>
      <w:color w:val="000000"/>
      <w:kern w:val="0"/>
      <w:sz w:val="18"/>
      <w:szCs w:val="20"/>
      <w:lang w:val="es-ES_tradnl" w:eastAsia="es-ES" w:bidi="ar-SA"/>
    </w:rPr>
  </w:style>
  <w:style w:type="paragraph" w:styleId="Default" w:customStyle="1">
    <w:name w:val="Default"/>
    <w:qFormat/>
    <w:rsid w:val="001b7028"/>
    <w:pPr>
      <w:widowControl/>
      <w:bidi w:val="0"/>
      <w:spacing w:lineRule="auto" w:line="240" w:before="0" w:after="0"/>
      <w:jc w:val="left"/>
    </w:pPr>
    <w:rPr>
      <w:rFonts w:ascii="AytoRoquetas Light Condensed" w:hAnsi="AytoRoquetas Light Condensed" w:cs="AytoRoquetas Light Condensed" w:eastAsia=""/>
      <w:color w:val="000000"/>
      <w:kern w:val="0"/>
      <w:sz w:val="24"/>
      <w:szCs w:val="24"/>
      <w:lang w:val="es-ES" w:eastAsia="es-ES" w:bidi="ar-SA"/>
    </w:rPr>
  </w:style>
  <w:style w:type="paragraph" w:styleId="ListParagraph">
    <w:name w:val="List Paragraph"/>
    <w:basedOn w:val="Normal"/>
    <w:uiPriority w:val="34"/>
    <w:qFormat/>
    <w:rsid w:val="00086d62"/>
    <w:pPr>
      <w:spacing w:lineRule="auto" w:line="240" w:before="120" w:after="120"/>
      <w:ind w:left="720"/>
      <w:contextualSpacing/>
      <w:jc w:val="both"/>
    </w:pPr>
    <w:rPr>
      <w:rFonts w:eastAsia="Times New Roman" w:cs="Times New Roman"/>
      <w:sz w:val="24"/>
      <w:szCs w:val="24"/>
    </w:rPr>
  </w:style>
  <w:style w:type="paragraph" w:styleId="TableParagraph" w:customStyle="1">
    <w:name w:val="Table Paragraph"/>
    <w:basedOn w:val="Normal"/>
    <w:uiPriority w:val="1"/>
    <w:qFormat/>
    <w:rsid w:val="00086d62"/>
    <w:pPr>
      <w:widowControl w:val="false"/>
      <w:spacing w:lineRule="auto" w:line="240" w:before="0" w:after="0"/>
    </w:pPr>
    <w:rPr>
      <w:rFonts w:ascii="Arial" w:hAnsi="Arial" w:eastAsia="Arial" w:cs="Arial"/>
      <w:lang w:eastAsia="en-US"/>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rsid w:val="00086d62"/>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unhideWhenUsed/>
    <w:qFormat/>
    <w:rsid w:val="00086d62"/>
    <w:pPr>
      <w:spacing w:after="0" w:line="240" w:lineRule="auto"/>
    </w:pPr>
    <w:rPr>
      <w:rFonts w:eastAsiaTheme="minorHAnsi" w:cstheme="minorBidi"/>
      <w:lang w:val="en-US" w:eastAsia="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LibreOffice/7.6.4.1$Windows_X86_64 LibreOffice_project/e19e193f88cd6c0525a17fb7a176ed8e6a3e2aa1</Application>
  <HyperlinkBase>C:\Users\ANTONI~1.JIM\AppData\Local\Temp\</HyperlinkBase>
  <AppVersion>15.0000</AppVersion>
  <Pages>12</Pages>
  <Words>4343</Words>
  <Characters>22692</Characters>
  <CharactersWithSpaces>26873</CharactersWithSpaces>
  <Paragraphs>183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2023-12-13T09:10:00Z</dcterms:created>
  <dc:creator>Candido Montoya Fernandez de la Reguera</dc:creator>
  <dc:description/>
  <dc:language>es-ES</dc:language>
  <cp:lastModifiedBy/>
  <dcterms:modified xsi:type="dcterms:W3CDTF">2023-12-18T08:52:08Z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