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F8714" w14:textId="77777777" w:rsidR="00702E44" w:rsidRDefault="00702E44" w:rsidP="00702E44">
      <w:pPr>
        <w:jc w:val="both"/>
        <w:rPr>
          <w:lang w:val="es-ES_tradnl"/>
        </w:rPr>
      </w:pPr>
    </w:p>
    <w:p w14:paraId="412DD56B" w14:textId="058C7948" w:rsidR="004906EC" w:rsidRDefault="004906EC" w:rsidP="004906EC">
      <w:pPr>
        <w:spacing w:before="120" w:after="120"/>
        <w:jc w:val="both"/>
        <w:rPr>
          <w:rFonts w:cs="Verdana"/>
          <w:b/>
          <w:bCs/>
          <w:szCs w:val="22"/>
        </w:rPr>
      </w:pPr>
      <w:r>
        <w:rPr>
          <w:rFonts w:cs="Arial"/>
          <w:b/>
          <w:szCs w:val="22"/>
          <w:lang w:val="es-ES_tradnl"/>
        </w:rPr>
        <w:t>ASUNTO: Evaluación del objetivo de estabilidad presupuestaria, nivel de deuda y límite máximo de gasto no financiero del Presupuesto General 202</w:t>
      </w:r>
      <w:r w:rsidR="007D0FC7">
        <w:rPr>
          <w:rFonts w:cs="Arial"/>
          <w:b/>
          <w:szCs w:val="22"/>
          <w:lang w:val="es-ES_tradnl"/>
        </w:rPr>
        <w:t>4</w:t>
      </w:r>
      <w:r>
        <w:rPr>
          <w:rFonts w:cs="Arial"/>
          <w:b/>
          <w:szCs w:val="22"/>
          <w:lang w:val="es-ES_tradnl"/>
        </w:rPr>
        <w:t>.</w:t>
      </w:r>
    </w:p>
    <w:p w14:paraId="16614AD5" w14:textId="77777777" w:rsidR="004906EC" w:rsidRDefault="004906EC" w:rsidP="004906EC">
      <w:pPr>
        <w:spacing w:before="120" w:after="120"/>
        <w:jc w:val="both"/>
        <w:rPr>
          <w:b/>
          <w:szCs w:val="22"/>
        </w:rPr>
      </w:pPr>
    </w:p>
    <w:p w14:paraId="2D808281" w14:textId="6B18A7FC" w:rsidR="004906EC" w:rsidRDefault="004906EC" w:rsidP="004906EC">
      <w:pPr>
        <w:spacing w:before="120" w:after="120"/>
        <w:jc w:val="both"/>
        <w:rPr>
          <w:szCs w:val="22"/>
        </w:rPr>
      </w:pPr>
      <w:r>
        <w:rPr>
          <w:b/>
          <w:szCs w:val="22"/>
        </w:rPr>
        <w:tab/>
      </w:r>
      <w:r>
        <w:rPr>
          <w:szCs w:val="22"/>
        </w:rPr>
        <w:t>Con motivo de la aprobación del Presupuesto General del ejercicio 202</w:t>
      </w:r>
      <w:r w:rsidR="00A4220B">
        <w:rPr>
          <w:szCs w:val="22"/>
        </w:rPr>
        <w:t>2</w:t>
      </w:r>
      <w:r>
        <w:rPr>
          <w:szCs w:val="22"/>
        </w:rPr>
        <w:t xml:space="preserve"> y en cumplimiento de lo previsto en el artículo 16.2 del Real Decreto 1463/2007, de 2 de noviembre, por el que se aprueba el Reglamento </w:t>
      </w:r>
      <w:r w:rsidRPr="00DE03F6">
        <w:rPr>
          <w:szCs w:val="22"/>
        </w:rPr>
        <w:t xml:space="preserve">de desarrollo de la Ley 18/2001, de 12 de diciembre, de Estabilidad Presupuestaria, en su aplicación a las </w:t>
      </w:r>
      <w:r>
        <w:rPr>
          <w:szCs w:val="22"/>
        </w:rPr>
        <w:t>E</w:t>
      </w:r>
      <w:r w:rsidRPr="00DE03F6">
        <w:rPr>
          <w:szCs w:val="22"/>
        </w:rPr>
        <w:t xml:space="preserve">ntidades </w:t>
      </w:r>
      <w:r>
        <w:rPr>
          <w:szCs w:val="22"/>
        </w:rPr>
        <w:t>L</w:t>
      </w:r>
      <w:r w:rsidRPr="00DE03F6">
        <w:rPr>
          <w:szCs w:val="22"/>
        </w:rPr>
        <w:t>ocales</w:t>
      </w:r>
      <w:r>
        <w:rPr>
          <w:szCs w:val="22"/>
        </w:rPr>
        <w:t>, así como lo dispuesto en la Ley Orgánica 2/2012, de 27 de abril, de Estabilidad Presupuestaria y Sostenibilidad Financiera (LOEPSF), emito el siguiente informe:</w:t>
      </w:r>
    </w:p>
    <w:p w14:paraId="361B6063" w14:textId="77777777" w:rsidR="004906EC" w:rsidRDefault="004906EC" w:rsidP="004906EC">
      <w:pPr>
        <w:spacing w:before="120" w:after="120"/>
        <w:jc w:val="both"/>
        <w:rPr>
          <w:szCs w:val="22"/>
        </w:rPr>
      </w:pPr>
    </w:p>
    <w:p w14:paraId="534D816B" w14:textId="77777777" w:rsidR="004906EC" w:rsidRDefault="004906EC" w:rsidP="004906EC">
      <w:pPr>
        <w:spacing w:before="120" w:after="120"/>
        <w:jc w:val="both"/>
        <w:rPr>
          <w:b/>
          <w:szCs w:val="22"/>
        </w:rPr>
      </w:pPr>
    </w:p>
    <w:p w14:paraId="5F6ABC56" w14:textId="77777777" w:rsidR="004906EC" w:rsidRDefault="004906EC" w:rsidP="004906EC">
      <w:pPr>
        <w:spacing w:before="120" w:after="120"/>
        <w:jc w:val="both"/>
        <w:rPr>
          <w:szCs w:val="22"/>
        </w:rPr>
      </w:pPr>
      <w:r>
        <w:rPr>
          <w:szCs w:val="22"/>
        </w:rPr>
        <w:t>La legislación aplicable viene determinada por:</w:t>
      </w:r>
    </w:p>
    <w:p w14:paraId="1CC8209C" w14:textId="77777777" w:rsidR="004906EC" w:rsidRDefault="004906EC" w:rsidP="004906EC">
      <w:pPr>
        <w:spacing w:before="120" w:after="120"/>
        <w:jc w:val="both"/>
        <w:rPr>
          <w:szCs w:val="22"/>
        </w:rPr>
      </w:pPr>
    </w:p>
    <w:p w14:paraId="4497D3B1" w14:textId="77777777" w:rsidR="004906EC" w:rsidRDefault="004906EC" w:rsidP="004906EC">
      <w:pPr>
        <w:numPr>
          <w:ilvl w:val="0"/>
          <w:numId w:val="17"/>
        </w:numPr>
        <w:spacing w:before="120" w:after="120"/>
        <w:jc w:val="both"/>
        <w:rPr>
          <w:szCs w:val="22"/>
        </w:rPr>
      </w:pPr>
      <w:r w:rsidRPr="001D4540">
        <w:rPr>
          <w:szCs w:val="22"/>
        </w:rPr>
        <w:t>Conforme a los artículos 3 y 11 LOEPS</w:t>
      </w:r>
      <w:r>
        <w:rPr>
          <w:szCs w:val="22"/>
        </w:rPr>
        <w:t>F</w:t>
      </w:r>
      <w:r w:rsidRPr="001D4540">
        <w:rPr>
          <w:szCs w:val="22"/>
        </w:rPr>
        <w:t xml:space="preserve">, la elaboración, aprobación y ejecución de los Presupuestos y demás actuaciones que afecten a los gastos o ingresos de los distintos sujetos comprendidos en el ámbito de aplicación de esta Ley se realizará en un marco de estabilidad presupuestaria, coherente con la normativa europea. Se entenderá por estabilidad presupuestaria de las Administraciones Públicas la situación de equilibrio o superávit estructural. </w:t>
      </w:r>
    </w:p>
    <w:p w14:paraId="0FA11109" w14:textId="77777777" w:rsidR="004906EC" w:rsidRDefault="004906EC" w:rsidP="004906EC">
      <w:pPr>
        <w:numPr>
          <w:ilvl w:val="0"/>
          <w:numId w:val="17"/>
        </w:numPr>
        <w:spacing w:before="120" w:after="120"/>
        <w:jc w:val="both"/>
        <w:rPr>
          <w:szCs w:val="22"/>
        </w:rPr>
      </w:pPr>
      <w:r>
        <w:rPr>
          <w:szCs w:val="22"/>
        </w:rPr>
        <w:t xml:space="preserve">Los artículos 4, 15 y 16.2 del Real Decreto 1463/2007, de 2 de noviembre, por el que se aprueba el Reglamento </w:t>
      </w:r>
      <w:r w:rsidRPr="00DE03F6">
        <w:rPr>
          <w:szCs w:val="22"/>
        </w:rPr>
        <w:t>de desarrollo de la Ley 18/2001, de 12 de diciembre, de Estabilidad Presupuestaria, en su aplicación a las entidades locales</w:t>
      </w:r>
      <w:r>
        <w:rPr>
          <w:szCs w:val="22"/>
        </w:rPr>
        <w:t>.</w:t>
      </w:r>
    </w:p>
    <w:p w14:paraId="311730AE" w14:textId="77777777" w:rsidR="004906EC" w:rsidRDefault="004906EC" w:rsidP="004906EC">
      <w:pPr>
        <w:numPr>
          <w:ilvl w:val="0"/>
          <w:numId w:val="17"/>
        </w:numPr>
        <w:spacing w:before="120" w:after="120"/>
        <w:jc w:val="both"/>
        <w:rPr>
          <w:szCs w:val="22"/>
        </w:rPr>
      </w:pPr>
      <w:r>
        <w:rPr>
          <w:szCs w:val="22"/>
        </w:rPr>
        <w:t>Orden ministerial HAP/2015/2012, de 1 octubre, por la que se desarrollan las obligaciones de suministro de información previstas en la LOEPSF, modificada por la Orden HAP/2082/2014, de 7 de septiembre.</w:t>
      </w:r>
    </w:p>
    <w:p w14:paraId="61B355B5" w14:textId="77777777" w:rsidR="004906EC" w:rsidRDefault="004906EC" w:rsidP="004906EC">
      <w:pPr>
        <w:spacing w:before="120" w:after="120"/>
        <w:jc w:val="both"/>
        <w:rPr>
          <w:szCs w:val="22"/>
        </w:rPr>
      </w:pPr>
    </w:p>
    <w:p w14:paraId="37EBDA12" w14:textId="77777777" w:rsidR="004906EC" w:rsidRDefault="004906EC" w:rsidP="004906EC">
      <w:pPr>
        <w:spacing w:before="120" w:after="120"/>
        <w:ind w:firstLine="360"/>
        <w:jc w:val="both"/>
        <w:rPr>
          <w:szCs w:val="22"/>
        </w:rPr>
      </w:pPr>
      <w:r>
        <w:rPr>
          <w:szCs w:val="22"/>
        </w:rPr>
        <w:t xml:space="preserve">El artículo 11.4 de la LOEPSF, establece que la Corporaciones Locales, deberán mantener una posición de equilibrio o superávit presupuestario. Las Entidades Locales ajustarán sus presupuestos al principio de estabilidad presupuestaria entendido como la situación de equilibrio o superávit computada en términos de capacidad de financiación de acuerdo con la definición contenida en el Sistema Europeo de Cuentas Nacionales y Regionales. </w:t>
      </w:r>
    </w:p>
    <w:p w14:paraId="6E19ABCB" w14:textId="77777777" w:rsidR="004906EC" w:rsidRDefault="004906EC" w:rsidP="004906EC">
      <w:pPr>
        <w:spacing w:before="120" w:after="120"/>
        <w:ind w:firstLine="360"/>
        <w:jc w:val="both"/>
        <w:rPr>
          <w:szCs w:val="22"/>
        </w:rPr>
      </w:pPr>
    </w:p>
    <w:p w14:paraId="69E080FB" w14:textId="77777777" w:rsidR="004906EC" w:rsidRDefault="004906EC" w:rsidP="004906EC">
      <w:pPr>
        <w:spacing w:before="120" w:after="120"/>
        <w:ind w:firstLine="360"/>
        <w:jc w:val="both"/>
        <w:rPr>
          <w:szCs w:val="22"/>
        </w:rPr>
      </w:pPr>
      <w:r>
        <w:rPr>
          <w:szCs w:val="22"/>
        </w:rPr>
        <w:t>Tal y como dispone el artículo 16 apartados 1 y 2, del Real Decreto 1463/2007, de 2 de noviembre, la Intervención elevará a Pleno un informe sobre el cumplimiento del objetivo de estabilidad presupuestaria de la propia Entidad Local y de sus organismos y entidades dependientes. Este informe se emitirá con carácter independiente.</w:t>
      </w:r>
    </w:p>
    <w:p w14:paraId="64C10F4C" w14:textId="77777777" w:rsidR="004906EC" w:rsidRDefault="004906EC" w:rsidP="004906EC">
      <w:pPr>
        <w:spacing w:before="120" w:after="120"/>
        <w:ind w:firstLine="360"/>
        <w:jc w:val="both"/>
        <w:rPr>
          <w:szCs w:val="22"/>
        </w:rPr>
      </w:pPr>
      <w:r>
        <w:rPr>
          <w:szCs w:val="22"/>
        </w:rPr>
        <w:t>El informe deberá detallar los cálculos efectuados y los ajustes practicados sobre la base de los datos de los capítulos 1 a 9 de los estados de gastos e ingresos presupuestarios, en términos de Contabilidad Nacional, según el sistema Europeo de Cuentas Nacionales y Regionales.</w:t>
      </w:r>
    </w:p>
    <w:p w14:paraId="5D74C8F3" w14:textId="77777777" w:rsidR="004906EC" w:rsidRDefault="004906EC" w:rsidP="004906EC">
      <w:pPr>
        <w:spacing w:before="120" w:after="120"/>
        <w:ind w:firstLine="360"/>
        <w:jc w:val="both"/>
        <w:rPr>
          <w:szCs w:val="22"/>
        </w:rPr>
      </w:pPr>
      <w:r>
        <w:rPr>
          <w:szCs w:val="22"/>
        </w:rPr>
        <w:lastRenderedPageBreak/>
        <w:t>El principio de equilibrio presupuestario se desprende de la comparación, de los capítulos 1 a 7 del presupuesto de gastos y los capítulos 1 a 7 del presupuesto ingresos. El objetivo de estabilidad presupuestaria se identificará con una situación de equilibrio o superávit.</w:t>
      </w:r>
    </w:p>
    <w:p w14:paraId="22B9A983" w14:textId="77777777" w:rsidR="00700B7E" w:rsidRDefault="00700B7E" w:rsidP="004906EC">
      <w:pPr>
        <w:widowControl w:val="0"/>
        <w:autoSpaceDE w:val="0"/>
        <w:autoSpaceDN w:val="0"/>
        <w:adjustRightInd w:val="0"/>
        <w:spacing w:after="200" w:line="276" w:lineRule="auto"/>
        <w:ind w:left="1080"/>
        <w:jc w:val="both"/>
      </w:pPr>
    </w:p>
    <w:p w14:paraId="47A8D97F" w14:textId="77777777" w:rsidR="004906EC" w:rsidRDefault="004906EC" w:rsidP="00700B7E">
      <w:pPr>
        <w:widowControl w:val="0"/>
        <w:autoSpaceDE w:val="0"/>
        <w:autoSpaceDN w:val="0"/>
        <w:adjustRightInd w:val="0"/>
        <w:jc w:val="both"/>
        <w:rPr>
          <w:rFonts w:cs="Arial"/>
          <w:b/>
          <w:szCs w:val="22"/>
          <w:u w:val="single"/>
          <w:lang w:val="es-ES_tradnl"/>
        </w:rPr>
      </w:pPr>
      <w:r>
        <w:rPr>
          <w:rFonts w:cs="Arial"/>
          <w:b/>
          <w:szCs w:val="22"/>
          <w:u w:val="single"/>
          <w:lang w:val="es-ES_tradnl"/>
        </w:rPr>
        <w:t xml:space="preserve">1º.- </w:t>
      </w:r>
      <w:r w:rsidRPr="006C7E07">
        <w:rPr>
          <w:rFonts w:cs="Arial"/>
          <w:b/>
          <w:szCs w:val="22"/>
          <w:u w:val="single"/>
          <w:lang w:val="es-ES_tradnl"/>
        </w:rPr>
        <w:t>EVALUACIÓN DEL OBJETIVO DE ESTABILIDAD PRESUPUESTARIA</w:t>
      </w:r>
    </w:p>
    <w:p w14:paraId="33ACB57A" w14:textId="77777777" w:rsidR="004906EC" w:rsidRDefault="004906EC" w:rsidP="00700B7E">
      <w:pPr>
        <w:widowControl w:val="0"/>
        <w:autoSpaceDE w:val="0"/>
        <w:autoSpaceDN w:val="0"/>
        <w:adjustRightInd w:val="0"/>
        <w:jc w:val="both"/>
        <w:rPr>
          <w:b/>
          <w:bCs/>
        </w:rPr>
      </w:pPr>
    </w:p>
    <w:p w14:paraId="03BAE915" w14:textId="77777777" w:rsidR="00D41BC9" w:rsidRDefault="00700B7E" w:rsidP="00700B7E">
      <w:pPr>
        <w:widowControl w:val="0"/>
        <w:autoSpaceDE w:val="0"/>
        <w:autoSpaceDN w:val="0"/>
        <w:adjustRightInd w:val="0"/>
        <w:jc w:val="both"/>
        <w:rPr>
          <w:bCs/>
        </w:rPr>
      </w:pPr>
      <w:r>
        <w:t xml:space="preserve">     </w:t>
      </w:r>
      <w:r w:rsidR="004906EC">
        <w:t>El saldo de las operaciones no financieras es de 0 euros, no habiendo ajustes SEC reseñables aplicar, por lo que cumple con la estabilidad presupuestaria.</w:t>
      </w:r>
    </w:p>
    <w:p w14:paraId="348C835A" w14:textId="77777777" w:rsidR="00D41BC9" w:rsidRDefault="00D41BC9" w:rsidP="00700B7E">
      <w:pPr>
        <w:widowControl w:val="0"/>
        <w:autoSpaceDE w:val="0"/>
        <w:autoSpaceDN w:val="0"/>
        <w:adjustRightInd w:val="0"/>
        <w:jc w:val="both"/>
        <w:rPr>
          <w:bCs/>
        </w:rPr>
      </w:pPr>
    </w:p>
    <w:p w14:paraId="0D97DA6E" w14:textId="77777777" w:rsidR="004906EC" w:rsidRDefault="004906EC" w:rsidP="004906EC">
      <w:pPr>
        <w:spacing w:before="120" w:after="120"/>
        <w:jc w:val="both"/>
        <w:rPr>
          <w:rFonts w:cs="Arial"/>
          <w:b/>
          <w:szCs w:val="22"/>
          <w:u w:val="single"/>
          <w:lang w:val="es-ES_tradnl"/>
        </w:rPr>
      </w:pPr>
      <w:r>
        <w:rPr>
          <w:rFonts w:cs="Arial"/>
          <w:b/>
          <w:szCs w:val="22"/>
          <w:u w:val="single"/>
          <w:lang w:val="es-ES_tradnl"/>
        </w:rPr>
        <w:t>2º.- CUMPLIMIENTO DEL LÍMITE DE DEUDA</w:t>
      </w:r>
    </w:p>
    <w:p w14:paraId="15A3736C" w14:textId="77777777" w:rsidR="004906EC" w:rsidRDefault="004906EC" w:rsidP="00700B7E">
      <w:pPr>
        <w:widowControl w:val="0"/>
        <w:autoSpaceDE w:val="0"/>
        <w:autoSpaceDN w:val="0"/>
        <w:adjustRightInd w:val="0"/>
        <w:jc w:val="both"/>
        <w:rPr>
          <w:bCs/>
        </w:rPr>
      </w:pPr>
    </w:p>
    <w:p w14:paraId="3A8FB852" w14:textId="77777777" w:rsidR="00D41BC9" w:rsidRDefault="004906EC" w:rsidP="00700B7E">
      <w:pPr>
        <w:widowControl w:val="0"/>
        <w:autoSpaceDE w:val="0"/>
        <w:autoSpaceDN w:val="0"/>
        <w:adjustRightInd w:val="0"/>
        <w:jc w:val="both"/>
      </w:pPr>
      <w:r>
        <w:t xml:space="preserve">     No existe deuda. </w:t>
      </w:r>
    </w:p>
    <w:p w14:paraId="369F0392" w14:textId="77777777" w:rsidR="004906EC" w:rsidRDefault="004906EC" w:rsidP="00700B7E">
      <w:pPr>
        <w:widowControl w:val="0"/>
        <w:autoSpaceDE w:val="0"/>
        <w:autoSpaceDN w:val="0"/>
        <w:adjustRightInd w:val="0"/>
        <w:jc w:val="both"/>
      </w:pPr>
    </w:p>
    <w:p w14:paraId="0D58D374" w14:textId="77777777" w:rsidR="004906EC" w:rsidRDefault="004906EC" w:rsidP="004906EC">
      <w:pPr>
        <w:spacing w:before="120" w:after="120"/>
        <w:jc w:val="both"/>
        <w:rPr>
          <w:rFonts w:cs="Arial"/>
          <w:b/>
          <w:szCs w:val="22"/>
          <w:u w:val="single"/>
          <w:lang w:val="es-ES_tradnl"/>
        </w:rPr>
      </w:pPr>
      <w:r>
        <w:rPr>
          <w:rFonts w:cs="Arial"/>
          <w:b/>
          <w:szCs w:val="22"/>
          <w:u w:val="single"/>
          <w:lang w:val="es-ES_tradnl"/>
        </w:rPr>
        <w:t>CONCLUSIONES</w:t>
      </w:r>
    </w:p>
    <w:p w14:paraId="23B4D3B2" w14:textId="77777777" w:rsidR="004906EC" w:rsidRDefault="004906EC" w:rsidP="00700B7E">
      <w:pPr>
        <w:widowControl w:val="0"/>
        <w:autoSpaceDE w:val="0"/>
        <w:autoSpaceDN w:val="0"/>
        <w:adjustRightInd w:val="0"/>
        <w:jc w:val="both"/>
        <w:rPr>
          <w:bCs/>
        </w:rPr>
      </w:pPr>
    </w:p>
    <w:p w14:paraId="6B2A233C" w14:textId="48769008" w:rsidR="00700B7E" w:rsidRDefault="00700B7E" w:rsidP="00700B7E">
      <w:pPr>
        <w:widowControl w:val="0"/>
        <w:autoSpaceDE w:val="0"/>
        <w:autoSpaceDN w:val="0"/>
        <w:adjustRightInd w:val="0"/>
        <w:jc w:val="both"/>
      </w:pPr>
      <w:r>
        <w:t xml:space="preserve">     El Presupuesto </w:t>
      </w:r>
      <w:r w:rsidR="00D41BC9">
        <w:t>del Consorcio del ejercicio 20</w:t>
      </w:r>
      <w:r w:rsidR="004906EC">
        <w:t>2</w:t>
      </w:r>
      <w:r w:rsidR="007D0FC7">
        <w:t>4</w:t>
      </w:r>
      <w:r>
        <w:t xml:space="preserve"> cumple el objetivo de estabilidad presupuestaria entendido como la situación de equilibrio o de superávit en términos de capacidad de financiación de acuerdo con la definición contenido en el SEC </w:t>
      </w:r>
      <w:r w:rsidR="006D63BD">
        <w:t>10</w:t>
      </w:r>
      <w:r>
        <w:t xml:space="preserve"> y el límite de deuda.</w:t>
      </w:r>
    </w:p>
    <w:p w14:paraId="121AD937" w14:textId="77777777" w:rsidR="00700B7E" w:rsidRDefault="00700B7E" w:rsidP="00700B7E">
      <w:pPr>
        <w:widowControl w:val="0"/>
        <w:autoSpaceDE w:val="0"/>
        <w:autoSpaceDN w:val="0"/>
        <w:adjustRightInd w:val="0"/>
        <w:jc w:val="center"/>
      </w:pPr>
    </w:p>
    <w:p w14:paraId="2B0BDB37" w14:textId="370C196A" w:rsidR="00700B7E" w:rsidRDefault="007D0FC7" w:rsidP="00700B7E">
      <w:pPr>
        <w:widowControl w:val="0"/>
        <w:autoSpaceDE w:val="0"/>
        <w:autoSpaceDN w:val="0"/>
        <w:adjustRightInd w:val="0"/>
        <w:jc w:val="center"/>
        <w:rPr>
          <w:b/>
        </w:rPr>
      </w:pPr>
      <w:r>
        <w:rPr>
          <w:b/>
        </w:rPr>
        <w:t>LA INTERVENTORA</w:t>
      </w:r>
    </w:p>
    <w:p w14:paraId="00E5845B" w14:textId="77777777" w:rsidR="004906EC" w:rsidRDefault="004906EC" w:rsidP="00700B7E">
      <w:pPr>
        <w:widowControl w:val="0"/>
        <w:autoSpaceDE w:val="0"/>
        <w:autoSpaceDN w:val="0"/>
        <w:adjustRightInd w:val="0"/>
        <w:jc w:val="center"/>
        <w:rPr>
          <w:b/>
        </w:rPr>
      </w:pPr>
    </w:p>
    <w:p w14:paraId="00135374" w14:textId="77777777" w:rsidR="004906EC" w:rsidRDefault="004906EC" w:rsidP="00700B7E">
      <w:pPr>
        <w:widowControl w:val="0"/>
        <w:autoSpaceDE w:val="0"/>
        <w:autoSpaceDN w:val="0"/>
        <w:adjustRightInd w:val="0"/>
        <w:jc w:val="center"/>
        <w:rPr>
          <w:b/>
        </w:rPr>
      </w:pPr>
    </w:p>
    <w:p w14:paraId="207A3A1E" w14:textId="03A9E43F" w:rsidR="00702E44" w:rsidRDefault="007D0FC7" w:rsidP="007D0FC7">
      <w:pPr>
        <w:jc w:val="center"/>
        <w:rPr>
          <w:lang w:val="es-ES_tradnl"/>
        </w:rPr>
      </w:pPr>
      <w:r>
        <w:rPr>
          <w:b/>
        </w:rPr>
        <w:t xml:space="preserve">Fdo. Dolores del </w:t>
      </w:r>
      <w:r w:rsidRPr="007D0FC7">
        <w:rPr>
          <w:b/>
        </w:rPr>
        <w:t>Pilar González Espinosa</w:t>
      </w:r>
    </w:p>
    <w:sectPr w:rsidR="00702E44"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B645" w14:textId="77777777" w:rsidR="002F07F2" w:rsidRDefault="002F07F2">
      <w:r>
        <w:separator/>
      </w:r>
    </w:p>
  </w:endnote>
  <w:endnote w:type="continuationSeparator" w:id="0">
    <w:p w14:paraId="346FF25E" w14:textId="77777777" w:rsidR="002F07F2" w:rsidRDefault="002F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D37D" w14:textId="77777777" w:rsidR="002F07F2" w:rsidRDefault="002F07F2">
      <w:r>
        <w:separator/>
      </w:r>
    </w:p>
  </w:footnote>
  <w:footnote w:type="continuationSeparator" w:id="0">
    <w:p w14:paraId="7565594D" w14:textId="77777777" w:rsidR="002F07F2" w:rsidRDefault="002F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3243" w14:textId="7CA9E004" w:rsidR="000E786E" w:rsidRDefault="000E786E" w:rsidP="000E786E">
    <w:pPr>
      <w:pStyle w:val="Encabezado"/>
      <w:tabs>
        <w:tab w:val="clear" w:pos="4252"/>
        <w:tab w:val="left" w:pos="1440"/>
      </w:tabs>
    </w:pPr>
    <w:r>
      <w:tab/>
    </w:r>
  </w:p>
  <w:p w14:paraId="38DD2A72" w14:textId="5F87B409" w:rsidR="000E786E" w:rsidRPr="000E786E" w:rsidRDefault="000E786E" w:rsidP="007D0FC7">
    <w:pPr>
      <w:pStyle w:val="Encabezado"/>
      <w:tabs>
        <w:tab w:val="clear" w:pos="4252"/>
        <w:tab w:val="left" w:pos="1440"/>
      </w:tabs>
      <w:rPr>
        <w:sz w:val="22"/>
        <w:szCs w:val="22"/>
      </w:rPr>
    </w:pPr>
    <w:r>
      <w:tab/>
    </w:r>
    <w:r w:rsidR="007D0FC7">
      <w:rPr>
        <w:noProof/>
      </w:rPr>
      <w:drawing>
        <wp:inline distT="0" distB="0" distL="0" distR="0" wp14:anchorId="7412A5DE" wp14:editId="0A72255F">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8721130"/>
    <w:lvl w:ilvl="0">
      <w:numFmt w:val="bullet"/>
      <w:lvlText w:val="*"/>
      <w:lvlJc w:val="left"/>
      <w:pPr>
        <w:ind w:left="3250" w:firstLine="0"/>
      </w:pPr>
    </w:lvl>
  </w:abstractNum>
  <w:abstractNum w:abstractNumId="1" w15:restartNumberingAfterBreak="0">
    <w:nsid w:val="00556168"/>
    <w:multiLevelType w:val="singleLevel"/>
    <w:tmpl w:val="40E62CA2"/>
    <w:lvl w:ilvl="0">
      <w:start w:val="1"/>
      <w:numFmt w:val="upperLetter"/>
      <w:lvlText w:val="%1)"/>
      <w:lvlJc w:val="left"/>
      <w:pPr>
        <w:tabs>
          <w:tab w:val="num" w:pos="360"/>
        </w:tabs>
        <w:ind w:left="360" w:hanging="360"/>
      </w:pPr>
    </w:lvl>
  </w:abstractNum>
  <w:abstractNum w:abstractNumId="2" w15:restartNumberingAfterBreak="0">
    <w:nsid w:val="010C4937"/>
    <w:multiLevelType w:val="singleLevel"/>
    <w:tmpl w:val="04883C18"/>
    <w:lvl w:ilvl="0">
      <w:start w:val="1"/>
      <w:numFmt w:val="upperLetter"/>
      <w:lvlText w:val="%1)"/>
      <w:lvlJc w:val="left"/>
      <w:pPr>
        <w:tabs>
          <w:tab w:val="num" w:pos="360"/>
        </w:tabs>
        <w:ind w:left="360" w:hanging="360"/>
      </w:pPr>
    </w:lvl>
  </w:abstractNum>
  <w:abstractNum w:abstractNumId="3" w15:restartNumberingAfterBreak="0">
    <w:nsid w:val="05A071F8"/>
    <w:multiLevelType w:val="hybridMultilevel"/>
    <w:tmpl w:val="E6608F2E"/>
    <w:lvl w:ilvl="0" w:tplc="522258B8">
      <w:start w:val="1"/>
      <w:numFmt w:val="lowerLetter"/>
      <w:lvlText w:val="%1)"/>
      <w:lvlJc w:val="left"/>
      <w:pPr>
        <w:ind w:left="108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1441337F"/>
    <w:multiLevelType w:val="singleLevel"/>
    <w:tmpl w:val="0C0A0017"/>
    <w:lvl w:ilvl="0">
      <w:start w:val="1"/>
      <w:numFmt w:val="lowerLetter"/>
      <w:lvlText w:val="%1)"/>
      <w:lvlJc w:val="left"/>
      <w:pPr>
        <w:tabs>
          <w:tab w:val="num" w:pos="360"/>
        </w:tabs>
        <w:ind w:left="360" w:hanging="360"/>
      </w:pPr>
    </w:lvl>
  </w:abstractNum>
  <w:abstractNum w:abstractNumId="5" w15:restartNumberingAfterBreak="0">
    <w:nsid w:val="201633E5"/>
    <w:multiLevelType w:val="hybridMultilevel"/>
    <w:tmpl w:val="377E6348"/>
    <w:lvl w:ilvl="0" w:tplc="C77C986E">
      <w:start w:val="1"/>
      <w:numFmt w:val="lowerLetter"/>
      <w:lvlText w:val="%1)"/>
      <w:lvlJc w:val="left"/>
      <w:pPr>
        <w:tabs>
          <w:tab w:val="num" w:pos="660"/>
        </w:tabs>
        <w:ind w:left="6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24A44F13"/>
    <w:multiLevelType w:val="hybridMultilevel"/>
    <w:tmpl w:val="C1FA3418"/>
    <w:lvl w:ilvl="0" w:tplc="04047E18">
      <w:start w:val="1"/>
      <w:numFmt w:val="decimal"/>
      <w:lvlText w:val="%1)"/>
      <w:lvlJc w:val="left"/>
      <w:pPr>
        <w:ind w:left="144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24F2120F"/>
    <w:multiLevelType w:val="hybridMultilevel"/>
    <w:tmpl w:val="D97610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21605F"/>
    <w:multiLevelType w:val="singleLevel"/>
    <w:tmpl w:val="0C0A0017"/>
    <w:lvl w:ilvl="0">
      <w:start w:val="1"/>
      <w:numFmt w:val="lowerLetter"/>
      <w:lvlText w:val="%1)"/>
      <w:lvlJc w:val="left"/>
      <w:pPr>
        <w:tabs>
          <w:tab w:val="num" w:pos="360"/>
        </w:tabs>
        <w:ind w:left="360" w:hanging="360"/>
      </w:pPr>
    </w:lvl>
  </w:abstractNum>
  <w:abstractNum w:abstractNumId="9" w15:restartNumberingAfterBreak="0">
    <w:nsid w:val="436236E5"/>
    <w:multiLevelType w:val="singleLevel"/>
    <w:tmpl w:val="0C0A0017"/>
    <w:lvl w:ilvl="0">
      <w:start w:val="1"/>
      <w:numFmt w:val="lowerLetter"/>
      <w:lvlText w:val="%1)"/>
      <w:lvlJc w:val="left"/>
      <w:pPr>
        <w:tabs>
          <w:tab w:val="num" w:pos="360"/>
        </w:tabs>
        <w:ind w:left="360" w:hanging="360"/>
      </w:pPr>
    </w:lvl>
  </w:abstractNum>
  <w:abstractNum w:abstractNumId="10" w15:restartNumberingAfterBreak="0">
    <w:nsid w:val="44860023"/>
    <w:multiLevelType w:val="singleLevel"/>
    <w:tmpl w:val="CF1882B0"/>
    <w:lvl w:ilvl="0">
      <w:start w:val="1"/>
      <w:numFmt w:val="upperLetter"/>
      <w:lvlText w:val="%1)"/>
      <w:lvlJc w:val="left"/>
      <w:pPr>
        <w:tabs>
          <w:tab w:val="num" w:pos="360"/>
        </w:tabs>
        <w:ind w:left="360" w:hanging="360"/>
      </w:pPr>
    </w:lvl>
  </w:abstractNum>
  <w:abstractNum w:abstractNumId="11" w15:restartNumberingAfterBreak="0">
    <w:nsid w:val="4C3000FB"/>
    <w:multiLevelType w:val="singleLevel"/>
    <w:tmpl w:val="9BEC576A"/>
    <w:lvl w:ilvl="0">
      <w:start w:val="1"/>
      <w:numFmt w:val="upperLetter"/>
      <w:lvlText w:val="%1)"/>
      <w:lvlJc w:val="left"/>
      <w:pPr>
        <w:tabs>
          <w:tab w:val="num" w:pos="360"/>
        </w:tabs>
        <w:ind w:left="360" w:hanging="360"/>
      </w:pPr>
    </w:lvl>
  </w:abstractNum>
  <w:abstractNum w:abstractNumId="12" w15:restartNumberingAfterBreak="0">
    <w:nsid w:val="4D8371D4"/>
    <w:multiLevelType w:val="singleLevel"/>
    <w:tmpl w:val="2A1CD4AE"/>
    <w:lvl w:ilvl="0">
      <w:start w:val="1"/>
      <w:numFmt w:val="upperLetter"/>
      <w:lvlText w:val="%1)"/>
      <w:lvlJc w:val="left"/>
      <w:pPr>
        <w:tabs>
          <w:tab w:val="num" w:pos="360"/>
        </w:tabs>
        <w:ind w:left="360" w:hanging="360"/>
      </w:pPr>
    </w:lvl>
  </w:abstractNum>
  <w:abstractNum w:abstractNumId="13" w15:restartNumberingAfterBreak="0">
    <w:nsid w:val="5A4D0269"/>
    <w:multiLevelType w:val="singleLevel"/>
    <w:tmpl w:val="0C0A0017"/>
    <w:lvl w:ilvl="0">
      <w:start w:val="1"/>
      <w:numFmt w:val="lowerLetter"/>
      <w:lvlText w:val="%1)"/>
      <w:lvlJc w:val="left"/>
      <w:pPr>
        <w:tabs>
          <w:tab w:val="num" w:pos="360"/>
        </w:tabs>
        <w:ind w:left="360" w:hanging="360"/>
      </w:pPr>
    </w:lvl>
  </w:abstractNum>
  <w:abstractNum w:abstractNumId="14" w15:restartNumberingAfterBreak="0">
    <w:nsid w:val="5DF848E1"/>
    <w:multiLevelType w:val="singleLevel"/>
    <w:tmpl w:val="2454F374"/>
    <w:lvl w:ilvl="0">
      <w:start w:val="3"/>
      <w:numFmt w:val="bullet"/>
      <w:lvlText w:val="-"/>
      <w:lvlJc w:val="left"/>
      <w:pPr>
        <w:tabs>
          <w:tab w:val="num" w:pos="360"/>
        </w:tabs>
        <w:ind w:left="360" w:hanging="360"/>
      </w:pPr>
    </w:lvl>
  </w:abstractNum>
  <w:abstractNum w:abstractNumId="15" w15:restartNumberingAfterBreak="0">
    <w:nsid w:val="65C17470"/>
    <w:multiLevelType w:val="singleLevel"/>
    <w:tmpl w:val="5E02F4A8"/>
    <w:lvl w:ilvl="0">
      <w:start w:val="1"/>
      <w:numFmt w:val="upperLetter"/>
      <w:lvlText w:val="%1)"/>
      <w:lvlJc w:val="left"/>
      <w:pPr>
        <w:tabs>
          <w:tab w:val="num" w:pos="786"/>
        </w:tabs>
        <w:ind w:left="786" w:hanging="360"/>
      </w:pPr>
    </w:lvl>
  </w:abstractNum>
  <w:abstractNum w:abstractNumId="16" w15:restartNumberingAfterBreak="0">
    <w:nsid w:val="73140F78"/>
    <w:multiLevelType w:val="singleLevel"/>
    <w:tmpl w:val="4B2C27AE"/>
    <w:lvl w:ilvl="0">
      <w:start w:val="1"/>
      <w:numFmt w:val="upperLetter"/>
      <w:lvlText w:val="%1)"/>
      <w:lvlJc w:val="left"/>
      <w:pPr>
        <w:tabs>
          <w:tab w:val="num" w:pos="360"/>
        </w:tabs>
        <w:ind w:left="360" w:hanging="360"/>
      </w:pPr>
    </w:lvl>
  </w:abstractNum>
  <w:num w:numId="1" w16cid:durableId="1123036942">
    <w:abstractNumId w:val="12"/>
    <w:lvlOverride w:ilvl="0">
      <w:startOverride w:val="1"/>
    </w:lvlOverride>
  </w:num>
  <w:num w:numId="2" w16cid:durableId="841746581">
    <w:abstractNumId w:val="15"/>
    <w:lvlOverride w:ilvl="0">
      <w:startOverride w:val="1"/>
    </w:lvlOverride>
  </w:num>
  <w:num w:numId="3" w16cid:durableId="1706170515">
    <w:abstractNumId w:val="10"/>
    <w:lvlOverride w:ilvl="0">
      <w:startOverride w:val="1"/>
    </w:lvlOverride>
  </w:num>
  <w:num w:numId="4" w16cid:durableId="596254693">
    <w:abstractNumId w:val="2"/>
    <w:lvlOverride w:ilvl="0">
      <w:startOverride w:val="1"/>
    </w:lvlOverride>
  </w:num>
  <w:num w:numId="5" w16cid:durableId="294407936">
    <w:abstractNumId w:val="16"/>
    <w:lvlOverride w:ilvl="0">
      <w:startOverride w:val="1"/>
    </w:lvlOverride>
  </w:num>
  <w:num w:numId="6" w16cid:durableId="1780103483">
    <w:abstractNumId w:val="11"/>
    <w:lvlOverride w:ilvl="0">
      <w:startOverride w:val="1"/>
    </w:lvlOverride>
  </w:num>
  <w:num w:numId="7" w16cid:durableId="1957172703">
    <w:abstractNumId w:val="1"/>
    <w:lvlOverride w:ilvl="0">
      <w:startOverride w:val="1"/>
    </w:lvlOverride>
  </w:num>
  <w:num w:numId="8" w16cid:durableId="918977356">
    <w:abstractNumId w:val="9"/>
    <w:lvlOverride w:ilvl="0">
      <w:startOverride w:val="1"/>
    </w:lvlOverride>
  </w:num>
  <w:num w:numId="9" w16cid:durableId="308633532">
    <w:abstractNumId w:val="8"/>
    <w:lvlOverride w:ilvl="0">
      <w:startOverride w:val="1"/>
    </w:lvlOverride>
  </w:num>
  <w:num w:numId="10" w16cid:durableId="720518208">
    <w:abstractNumId w:val="13"/>
    <w:lvlOverride w:ilvl="0">
      <w:startOverride w:val="1"/>
    </w:lvlOverride>
  </w:num>
  <w:num w:numId="11" w16cid:durableId="882718333">
    <w:abstractNumId w:val="4"/>
    <w:lvlOverride w:ilvl="0">
      <w:startOverride w:val="1"/>
    </w:lvlOverride>
  </w:num>
  <w:num w:numId="12" w16cid:durableId="409348967">
    <w:abstractNumId w:val="14"/>
  </w:num>
  <w:num w:numId="13" w16cid:durableId="1401515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9296303">
    <w:abstractNumId w:val="0"/>
    <w:lvlOverride w:ilvl="0">
      <w:lvl w:ilvl="0">
        <w:numFmt w:val="bullet"/>
        <w:lvlText w:val=""/>
        <w:legacy w:legacy="1" w:legacySpace="0" w:legacyIndent="360"/>
        <w:lvlJc w:val="left"/>
        <w:pPr>
          <w:ind w:left="0" w:firstLine="0"/>
        </w:pPr>
        <w:rPr>
          <w:rFonts w:ascii="Symbol" w:hAnsi="Symbol" w:hint="default"/>
        </w:rPr>
      </w:lvl>
    </w:lvlOverride>
  </w:num>
  <w:num w:numId="15" w16cid:durableId="18229666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8165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133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40C4C"/>
    <w:rsid w:val="00091024"/>
    <w:rsid w:val="000B4723"/>
    <w:rsid w:val="000B7FBA"/>
    <w:rsid w:val="000E786E"/>
    <w:rsid w:val="000F760B"/>
    <w:rsid w:val="00121A48"/>
    <w:rsid w:val="002203BB"/>
    <w:rsid w:val="00233DC5"/>
    <w:rsid w:val="00243CA8"/>
    <w:rsid w:val="002C7EEC"/>
    <w:rsid w:val="002F07F2"/>
    <w:rsid w:val="00332FA0"/>
    <w:rsid w:val="00412399"/>
    <w:rsid w:val="004823BB"/>
    <w:rsid w:val="004906EC"/>
    <w:rsid w:val="004943ED"/>
    <w:rsid w:val="004B2696"/>
    <w:rsid w:val="005B35E9"/>
    <w:rsid w:val="00640167"/>
    <w:rsid w:val="006D63BD"/>
    <w:rsid w:val="00700B7E"/>
    <w:rsid w:val="00702E44"/>
    <w:rsid w:val="007A560C"/>
    <w:rsid w:val="007D03C9"/>
    <w:rsid w:val="007D0FC7"/>
    <w:rsid w:val="00920EC7"/>
    <w:rsid w:val="009B4183"/>
    <w:rsid w:val="009E71C5"/>
    <w:rsid w:val="00A4220B"/>
    <w:rsid w:val="00A57434"/>
    <w:rsid w:val="00B15C90"/>
    <w:rsid w:val="00BA375C"/>
    <w:rsid w:val="00C070E5"/>
    <w:rsid w:val="00D10D43"/>
    <w:rsid w:val="00D27161"/>
    <w:rsid w:val="00D41BC9"/>
    <w:rsid w:val="00DC0A13"/>
    <w:rsid w:val="00DC3ED2"/>
    <w:rsid w:val="00DD6D55"/>
    <w:rsid w:val="00DF2516"/>
    <w:rsid w:val="00EA6D23"/>
    <w:rsid w:val="00F8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679D3F"/>
  <w15:docId w15:val="{5F8F14A7-8E36-4843-B78E-F239A306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5E9"/>
    <w:rPr>
      <w:sz w:val="24"/>
      <w:szCs w:val="24"/>
    </w:rPr>
  </w:style>
  <w:style w:type="paragraph" w:styleId="Ttulo1">
    <w:name w:val="heading 1"/>
    <w:basedOn w:val="Normal"/>
    <w:next w:val="Normal"/>
    <w:link w:val="Ttulo1Car"/>
    <w:qFormat/>
    <w:rsid w:val="00702E44"/>
    <w:pPr>
      <w:keepNext/>
      <w:outlineLvl w:val="0"/>
    </w:pPr>
    <w:rPr>
      <w:szCs w:val="20"/>
      <w:lang w:val="es-ES_tradnl"/>
    </w:rPr>
  </w:style>
  <w:style w:type="paragraph" w:styleId="Ttulo2">
    <w:name w:val="heading 2"/>
    <w:basedOn w:val="Normal"/>
    <w:next w:val="Normal"/>
    <w:link w:val="Ttulo2Car"/>
    <w:semiHidden/>
    <w:unhideWhenUsed/>
    <w:qFormat/>
    <w:rsid w:val="00702E44"/>
    <w:pPr>
      <w:keepNext/>
      <w:jc w:val="both"/>
      <w:outlineLvl w:val="1"/>
    </w:pPr>
    <w:rPr>
      <w:szCs w:val="20"/>
      <w:u w:val="single"/>
      <w:lang w:val="es-ES_tradnl"/>
    </w:rPr>
  </w:style>
  <w:style w:type="paragraph" w:styleId="Ttulo5">
    <w:name w:val="heading 5"/>
    <w:basedOn w:val="Normal"/>
    <w:next w:val="Normal"/>
    <w:link w:val="Ttulo5Car"/>
    <w:semiHidden/>
    <w:unhideWhenUsed/>
    <w:qFormat/>
    <w:rsid w:val="00702E44"/>
    <w:pPr>
      <w:keepNext/>
      <w:jc w:val="both"/>
      <w:outlineLvl w:val="4"/>
    </w:pPr>
    <w:rPr>
      <w:b/>
      <w:szCs w:val="20"/>
      <w:lang w:val="es-ES_tradnl"/>
    </w:rPr>
  </w:style>
  <w:style w:type="paragraph" w:styleId="Ttulo6">
    <w:name w:val="heading 6"/>
    <w:basedOn w:val="Normal"/>
    <w:next w:val="Normal"/>
    <w:link w:val="Ttulo6Car"/>
    <w:semiHidden/>
    <w:unhideWhenUsed/>
    <w:qFormat/>
    <w:rsid w:val="00702E44"/>
    <w:pPr>
      <w:keepNext/>
      <w:jc w:val="center"/>
      <w:outlineLvl w:val="5"/>
    </w:pPr>
    <w:rPr>
      <w:b/>
      <w:szCs w:val="20"/>
      <w:u w:val="single"/>
      <w:lang w:val="es-ES_tradnl"/>
    </w:rPr>
  </w:style>
  <w:style w:type="paragraph" w:styleId="Ttulo7">
    <w:name w:val="heading 7"/>
    <w:basedOn w:val="Normal"/>
    <w:next w:val="Normal"/>
    <w:link w:val="Ttulo7Car"/>
    <w:semiHidden/>
    <w:unhideWhenUsed/>
    <w:qFormat/>
    <w:rsid w:val="00702E44"/>
    <w:pPr>
      <w:keepNext/>
      <w:jc w:val="center"/>
      <w:outlineLvl w:val="6"/>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character" w:customStyle="1" w:styleId="Ttulo1Car">
    <w:name w:val="Título 1 Car"/>
    <w:basedOn w:val="Fuentedeprrafopredeter"/>
    <w:link w:val="Ttulo1"/>
    <w:rsid w:val="00702E44"/>
    <w:rPr>
      <w:sz w:val="24"/>
      <w:lang w:val="es-ES_tradnl"/>
    </w:rPr>
  </w:style>
  <w:style w:type="character" w:customStyle="1" w:styleId="Ttulo2Car">
    <w:name w:val="Título 2 Car"/>
    <w:basedOn w:val="Fuentedeprrafopredeter"/>
    <w:link w:val="Ttulo2"/>
    <w:semiHidden/>
    <w:rsid w:val="00702E44"/>
    <w:rPr>
      <w:sz w:val="24"/>
      <w:u w:val="single"/>
      <w:lang w:val="es-ES_tradnl"/>
    </w:rPr>
  </w:style>
  <w:style w:type="character" w:customStyle="1" w:styleId="Ttulo5Car">
    <w:name w:val="Título 5 Car"/>
    <w:basedOn w:val="Fuentedeprrafopredeter"/>
    <w:link w:val="Ttulo5"/>
    <w:semiHidden/>
    <w:rsid w:val="00702E44"/>
    <w:rPr>
      <w:b/>
      <w:sz w:val="24"/>
      <w:lang w:val="es-ES_tradnl"/>
    </w:rPr>
  </w:style>
  <w:style w:type="character" w:customStyle="1" w:styleId="Ttulo6Car">
    <w:name w:val="Título 6 Car"/>
    <w:basedOn w:val="Fuentedeprrafopredeter"/>
    <w:link w:val="Ttulo6"/>
    <w:semiHidden/>
    <w:rsid w:val="00702E44"/>
    <w:rPr>
      <w:b/>
      <w:sz w:val="24"/>
      <w:u w:val="single"/>
      <w:lang w:val="es-ES_tradnl"/>
    </w:rPr>
  </w:style>
  <w:style w:type="character" w:customStyle="1" w:styleId="Ttulo7Car">
    <w:name w:val="Título 7 Car"/>
    <w:basedOn w:val="Fuentedeprrafopredeter"/>
    <w:link w:val="Ttulo7"/>
    <w:semiHidden/>
    <w:rsid w:val="00702E44"/>
    <w:rPr>
      <w:b/>
      <w:sz w:val="24"/>
      <w:lang w:val="es-ES_tradnl"/>
    </w:rPr>
  </w:style>
  <w:style w:type="paragraph" w:styleId="Textoindependiente">
    <w:name w:val="Body Text"/>
    <w:basedOn w:val="Normal"/>
    <w:link w:val="TextoindependienteCar"/>
    <w:unhideWhenUsed/>
    <w:rsid w:val="00702E44"/>
    <w:pPr>
      <w:jc w:val="both"/>
    </w:pPr>
    <w:rPr>
      <w:szCs w:val="20"/>
      <w:lang w:val="es-ES_tradnl"/>
    </w:rPr>
  </w:style>
  <w:style w:type="character" w:customStyle="1" w:styleId="TextoindependienteCar">
    <w:name w:val="Texto independiente Car"/>
    <w:basedOn w:val="Fuentedeprrafopredeter"/>
    <w:link w:val="Textoindependiente"/>
    <w:rsid w:val="00702E44"/>
    <w:rPr>
      <w:sz w:val="24"/>
      <w:lang w:val="es-ES_tradnl"/>
    </w:rPr>
  </w:style>
  <w:style w:type="paragraph" w:styleId="Sangradetextonormal">
    <w:name w:val="Body Text Indent"/>
    <w:basedOn w:val="Normal"/>
    <w:link w:val="SangradetextonormalCar"/>
    <w:unhideWhenUsed/>
    <w:rsid w:val="00702E44"/>
    <w:pPr>
      <w:ind w:firstLine="708"/>
      <w:jc w:val="both"/>
    </w:pPr>
    <w:rPr>
      <w:szCs w:val="20"/>
      <w:lang w:val="es-ES_tradnl"/>
    </w:rPr>
  </w:style>
  <w:style w:type="character" w:customStyle="1" w:styleId="SangradetextonormalCar">
    <w:name w:val="Sangría de texto normal Car"/>
    <w:basedOn w:val="Fuentedeprrafopredeter"/>
    <w:link w:val="Sangradetextonormal"/>
    <w:rsid w:val="00702E44"/>
    <w:rPr>
      <w:sz w:val="24"/>
      <w:lang w:val="es-ES_tradnl"/>
    </w:rPr>
  </w:style>
  <w:style w:type="paragraph" w:styleId="Sangra2detindependiente">
    <w:name w:val="Body Text Indent 2"/>
    <w:basedOn w:val="Normal"/>
    <w:link w:val="Sangra2detindependienteCar"/>
    <w:unhideWhenUsed/>
    <w:rsid w:val="00702E44"/>
    <w:pPr>
      <w:ind w:firstLine="426"/>
      <w:jc w:val="both"/>
    </w:pPr>
    <w:rPr>
      <w:szCs w:val="20"/>
      <w:lang w:val="es-ES_tradnl"/>
    </w:rPr>
  </w:style>
  <w:style w:type="character" w:customStyle="1" w:styleId="Sangra2detindependienteCar">
    <w:name w:val="Sangría 2 de t. independiente Car"/>
    <w:basedOn w:val="Fuentedeprrafopredeter"/>
    <w:link w:val="Sangra2detindependiente"/>
    <w:rsid w:val="00702E44"/>
    <w:rPr>
      <w:sz w:val="24"/>
      <w:lang w:val="es-ES_tradnl"/>
    </w:rPr>
  </w:style>
  <w:style w:type="paragraph" w:styleId="Prrafodelista">
    <w:name w:val="List Paragraph"/>
    <w:basedOn w:val="Normal"/>
    <w:uiPriority w:val="34"/>
    <w:qFormat/>
    <w:rsid w:val="00040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312956212">
      <w:bodyDiv w:val="1"/>
      <w:marLeft w:val="0"/>
      <w:marRight w:val="0"/>
      <w:marTop w:val="0"/>
      <w:marBottom w:val="0"/>
      <w:divBdr>
        <w:top w:val="none" w:sz="0" w:space="0" w:color="auto"/>
        <w:left w:val="none" w:sz="0" w:space="0" w:color="auto"/>
        <w:bottom w:val="none" w:sz="0" w:space="0" w:color="auto"/>
        <w:right w:val="none" w:sz="0" w:space="0" w:color="auto"/>
      </w:divBdr>
    </w:div>
    <w:div w:id="179328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2999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AYTO. ROQUETAS DE MAR</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dc:creator>
  <cp:lastModifiedBy>Pilar González Espinosa</cp:lastModifiedBy>
  <cp:revision>2</cp:revision>
  <cp:lastPrinted>2019-02-25T10:41:00Z</cp:lastPrinted>
  <dcterms:created xsi:type="dcterms:W3CDTF">2023-12-13T14:58:00Z</dcterms:created>
  <dcterms:modified xsi:type="dcterms:W3CDTF">2023-12-13T14:58:00Z</dcterms:modified>
</cp:coreProperties>
</file>