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48E8C55"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sidR="00C96C71">
        <w:rPr>
          <w:color w:val="auto"/>
          <w:sz w:val="22"/>
          <w:szCs w:val="22"/>
        </w:rPr>
        <w:t xml:space="preserve">y urgente </w:t>
      </w:r>
      <w:r w:rsidRPr="003645B5">
        <w:rPr>
          <w:color w:val="auto"/>
          <w:sz w:val="22"/>
          <w:szCs w:val="22"/>
        </w:rPr>
        <w:t xml:space="preserve">celebrada el </w:t>
      </w:r>
      <w:r w:rsidR="00C96C71">
        <w:rPr>
          <w:color w:val="auto"/>
          <w:sz w:val="22"/>
          <w:szCs w:val="22"/>
        </w:rPr>
        <w:t>2</w:t>
      </w:r>
      <w:r w:rsidR="00373889">
        <w:rPr>
          <w:color w:val="auto"/>
          <w:sz w:val="22"/>
          <w:szCs w:val="22"/>
        </w:rPr>
        <w:t>1</w:t>
      </w:r>
      <w:r w:rsidRPr="003645B5">
        <w:rPr>
          <w:color w:val="auto"/>
          <w:sz w:val="22"/>
          <w:szCs w:val="22"/>
        </w:rPr>
        <w:t xml:space="preserve"> de diciembre de 2023, adoptó entre otros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7DDF031C" w14:textId="77777777" w:rsidR="00086D62" w:rsidRPr="003645B5" w:rsidRDefault="00086D62" w:rsidP="00086D62">
      <w:pPr>
        <w:pStyle w:val="Textoindependiente"/>
        <w:spacing w:line="288" w:lineRule="auto"/>
        <w:contextualSpacing/>
        <w:rPr>
          <w:rFonts w:ascii="AytoRoquetas Light Condensed" w:hAnsi="AytoRoquetas Light Condensed"/>
          <w:sz w:val="26"/>
          <w:szCs w:val="26"/>
          <w:lang w:val="es-ES"/>
        </w:rPr>
      </w:pPr>
      <w:r w:rsidRPr="003645B5">
        <w:rPr>
          <w:rFonts w:ascii="AytoRoquetas Light Condensed" w:hAnsi="AytoRoquetas Light Condensed"/>
          <w:sz w:val="26"/>
          <w:szCs w:val="26"/>
          <w:lang w:val="es-ES"/>
        </w:rPr>
        <w:t>5º.- PROPOSICIÓN</w:t>
      </w:r>
      <w:r w:rsidRPr="003645B5">
        <w:rPr>
          <w:rFonts w:ascii="AytoRoquetas Light Condensed" w:hAnsi="AytoRoquetas Light Condensed"/>
          <w:spacing w:val="-1"/>
          <w:sz w:val="26"/>
          <w:szCs w:val="26"/>
          <w:lang w:val="es-ES"/>
        </w:rPr>
        <w:t xml:space="preserve"> </w:t>
      </w:r>
      <w:r w:rsidRPr="003645B5">
        <w:rPr>
          <w:rFonts w:ascii="AytoRoquetas Light Condensed" w:hAnsi="AytoRoquetas Light Condensed"/>
          <w:sz w:val="26"/>
          <w:szCs w:val="26"/>
          <w:lang w:val="es-ES"/>
        </w:rPr>
        <w:t>relativa a revisión de precios</w:t>
      </w:r>
      <w:r w:rsidRPr="003645B5">
        <w:rPr>
          <w:rFonts w:ascii="AytoRoquetas Light Condensed" w:hAnsi="AytoRoquetas Light Condensed"/>
          <w:spacing w:val="-2"/>
          <w:sz w:val="26"/>
          <w:szCs w:val="26"/>
          <w:lang w:val="es-ES"/>
        </w:rPr>
        <w:t xml:space="preserve"> </w:t>
      </w:r>
      <w:r w:rsidRPr="003645B5">
        <w:rPr>
          <w:rFonts w:ascii="AytoRoquetas Light Condensed" w:hAnsi="AytoRoquetas Light Condensed"/>
          <w:sz w:val="26"/>
          <w:szCs w:val="26"/>
          <w:lang w:val="es-ES"/>
        </w:rPr>
        <w:t>conforme a</w:t>
      </w:r>
      <w:r w:rsidRPr="003645B5">
        <w:rPr>
          <w:rFonts w:ascii="AytoRoquetas Light Condensed" w:hAnsi="AytoRoquetas Light Condensed"/>
          <w:spacing w:val="-1"/>
          <w:sz w:val="26"/>
          <w:szCs w:val="26"/>
          <w:lang w:val="es-ES"/>
        </w:rPr>
        <w:t xml:space="preserve"> </w:t>
      </w:r>
      <w:r w:rsidRPr="003645B5">
        <w:rPr>
          <w:rFonts w:ascii="AytoRoquetas Light Condensed" w:hAnsi="AytoRoquetas Light Condensed"/>
          <w:sz w:val="26"/>
          <w:szCs w:val="26"/>
          <w:lang w:val="es-ES"/>
        </w:rPr>
        <w:t>la</w:t>
      </w:r>
      <w:r w:rsidRPr="003645B5">
        <w:rPr>
          <w:rFonts w:ascii="AytoRoquetas Light Condensed" w:hAnsi="AytoRoquetas Light Condensed"/>
          <w:spacing w:val="-1"/>
          <w:sz w:val="26"/>
          <w:szCs w:val="26"/>
          <w:lang w:val="es-ES"/>
        </w:rPr>
        <w:t xml:space="preserve"> </w:t>
      </w:r>
      <w:r w:rsidRPr="003645B5">
        <w:rPr>
          <w:rFonts w:ascii="AytoRoquetas Light Condensed" w:hAnsi="AytoRoquetas Light Condensed"/>
          <w:sz w:val="26"/>
          <w:szCs w:val="26"/>
          <w:lang w:val="es-ES"/>
        </w:rPr>
        <w:t xml:space="preserve">actualización del IPC de las empresas </w:t>
      </w:r>
      <w:r w:rsidRPr="003645B5">
        <w:rPr>
          <w:rFonts w:ascii="AytoRoquetas Light Condensed" w:hAnsi="AytoRoquetas Light Condensed"/>
          <w:spacing w:val="-2"/>
          <w:sz w:val="26"/>
          <w:szCs w:val="26"/>
          <w:lang w:val="es-ES"/>
        </w:rPr>
        <w:t>operadoras.</w:t>
      </w:r>
    </w:p>
    <w:p w14:paraId="6F8731D8" w14:textId="77777777" w:rsidR="00086D62" w:rsidRPr="003645B5" w:rsidRDefault="00086D62" w:rsidP="00365163">
      <w:pPr>
        <w:pStyle w:val="Textoindependiente"/>
        <w:spacing w:line="276" w:lineRule="auto"/>
        <w:contextualSpacing/>
        <w:rPr>
          <w:rFonts w:ascii="AytoRoquetas Light Condensed" w:eastAsiaTheme="minorEastAsia" w:hAnsi="AytoRoquetas Light Condensed" w:cs="AytoRoquetas Light Condensed"/>
          <w:b w:val="0"/>
          <w:sz w:val="22"/>
          <w:szCs w:val="22"/>
          <w:lang w:val="es-ES"/>
        </w:rPr>
      </w:pPr>
    </w:p>
    <w:p w14:paraId="3090223B" w14:textId="5F80C0C1" w:rsidR="00086D62" w:rsidRPr="003645B5" w:rsidRDefault="00086D62" w:rsidP="00365163">
      <w:pPr>
        <w:contextualSpacing/>
        <w:jc w:val="both"/>
        <w:rPr>
          <w:rFonts w:ascii="AytoRoquetas Light Condensed" w:hAnsi="AytoRoquetas Light Condensed" w:cs="AytoRoquetas Light Condensed"/>
        </w:rPr>
      </w:pPr>
      <w:r w:rsidRPr="003645B5">
        <w:rPr>
          <w:rFonts w:ascii="AytoRoquetas Light Condensed" w:hAnsi="AytoRoquetas Light Condensed" w:cs="AytoRoquetas Light Condensed"/>
        </w:rPr>
        <w:tab/>
        <w:t xml:space="preserve">Se da cuenta de la PROPOSICIÓN del </w:t>
      </w:r>
      <w:proofErr w:type="gramStart"/>
      <w:r w:rsidRPr="003645B5">
        <w:rPr>
          <w:rFonts w:ascii="AytoRoquetas Light Condensed" w:hAnsi="AytoRoquetas Light Condensed" w:cs="AytoRoquetas Light Condensed"/>
        </w:rPr>
        <w:t>Presidente</w:t>
      </w:r>
      <w:proofErr w:type="gramEnd"/>
      <w:r w:rsidRPr="003645B5">
        <w:rPr>
          <w:rFonts w:ascii="AytoRoquetas Light Condensed" w:hAnsi="AytoRoquetas Light Condensed" w:cs="AytoRoquetas Light Condensed"/>
        </w:rPr>
        <w:t>, de 1 de diciembre de 2023</w:t>
      </w:r>
      <w:r w:rsidR="00365163" w:rsidRPr="003645B5">
        <w:rPr>
          <w:rFonts w:ascii="AytoRoquetas Light Condensed" w:hAnsi="AytoRoquetas Light Condensed" w:cs="AytoRoquetas Light Condensed"/>
        </w:rPr>
        <w:t xml:space="preserve">, relativa a la revisión ordinaria de los costes del servicio realizado por </w:t>
      </w:r>
      <w:r w:rsidR="00537205" w:rsidRPr="00E2138D">
        <w:rPr>
          <w:rFonts w:ascii="AytoRoquetas Light Condensed" w:hAnsi="AytoRoquetas Light Condensed"/>
          <w:sz w:val="20"/>
          <w:szCs w:val="20"/>
        </w:rPr>
        <w:t>UTE DEPURACION PONIENTE ALMERIENSE, SA</w:t>
      </w:r>
      <w:r w:rsidR="00365163" w:rsidRPr="003645B5">
        <w:rPr>
          <w:rFonts w:ascii="AytoRoquetas Light Condensed" w:hAnsi="AytoRoquetas Light Condensed"/>
          <w:sz w:val="20"/>
          <w:szCs w:val="20"/>
        </w:rPr>
        <w:t>.</w:t>
      </w:r>
    </w:p>
    <w:p w14:paraId="247E0787" w14:textId="77777777" w:rsidR="00086D62" w:rsidRPr="003645B5" w:rsidRDefault="00086D62" w:rsidP="00365163">
      <w:pPr>
        <w:contextualSpacing/>
        <w:jc w:val="both"/>
        <w:rPr>
          <w:rFonts w:ascii="AytoRoquetas Light Condensed" w:hAnsi="AytoRoquetas Light Condensed" w:cs="AytoRoquetas Light Condensed"/>
        </w:rPr>
      </w:pPr>
    </w:p>
    <w:p w14:paraId="5750D1E7" w14:textId="77777777" w:rsidR="00537205" w:rsidRPr="00E2138D" w:rsidRDefault="00086D62" w:rsidP="00537205">
      <w:pPr>
        <w:spacing w:line="288" w:lineRule="auto"/>
        <w:contextualSpacing/>
        <w:jc w:val="center"/>
        <w:rPr>
          <w:rFonts w:ascii="AytoRoquetas Light Condensed" w:hAnsi="AytoRoquetas Light Condensed"/>
          <w:b/>
          <w:bCs/>
          <w:sz w:val="20"/>
          <w:szCs w:val="20"/>
        </w:rPr>
      </w:pPr>
      <w:r w:rsidRPr="003645B5">
        <w:rPr>
          <w:rFonts w:ascii="AytoRoquetas Light Condensed" w:hAnsi="AytoRoquetas Light Condensed"/>
        </w:rPr>
        <w:t>“</w:t>
      </w:r>
      <w:r w:rsidR="00537205" w:rsidRPr="00E2138D">
        <w:rPr>
          <w:rFonts w:ascii="AytoRoquetas Light Condensed" w:hAnsi="AytoRoquetas Light Condensed"/>
          <w:b/>
          <w:bCs/>
          <w:sz w:val="20"/>
          <w:szCs w:val="20"/>
        </w:rPr>
        <w:t>I. ANTECEDENTES</w:t>
      </w:r>
    </w:p>
    <w:p w14:paraId="529181FA" w14:textId="77777777" w:rsidR="00537205" w:rsidRPr="00E2138D" w:rsidRDefault="00537205" w:rsidP="00537205">
      <w:pPr>
        <w:spacing w:line="288" w:lineRule="auto"/>
        <w:contextualSpacing/>
        <w:jc w:val="center"/>
        <w:rPr>
          <w:rFonts w:ascii="AytoRoquetas Light Condensed" w:hAnsi="AytoRoquetas Light Condensed"/>
          <w:b/>
          <w:bCs/>
          <w:sz w:val="20"/>
          <w:szCs w:val="20"/>
        </w:rPr>
      </w:pPr>
    </w:p>
    <w:p w14:paraId="333445B6"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r w:rsidRPr="00E2138D">
        <w:rPr>
          <w:rFonts w:ascii="AytoRoquetas Light Condensed" w:hAnsi="AytoRoquetas Light Condensed"/>
          <w:b/>
          <w:bCs/>
          <w:sz w:val="20"/>
          <w:szCs w:val="20"/>
        </w:rPr>
        <w:t>1</w:t>
      </w:r>
      <w:r w:rsidRPr="00E2138D">
        <w:rPr>
          <w:rFonts w:ascii="AytoRoquetas Light Condensed" w:hAnsi="AytoRoquetas Light Condensed"/>
          <w:sz w:val="20"/>
          <w:szCs w:val="20"/>
        </w:rPr>
        <w:t xml:space="preserve">. En fecha 21 de junio de 2002 se formalizó en documento administrativo entre el Consorcio para la Gestión de los Servicios Integrados de Abastecimiento de Agua y Saneamiento de los Municipios del Poniente Almeriense  y el legal representante de la UTE SOGESUR-INIMA (hoy UTE DEPURACION PONIENTE ALMERIENSE, SA) el contrato de Concesión de la Gestión y Explotación del Servicio de Depuración de Aguas Residuales del Sector del Consorcio que comprende El Ejido, </w:t>
      </w:r>
      <w:proofErr w:type="spellStart"/>
      <w:r w:rsidRPr="00E2138D">
        <w:rPr>
          <w:rFonts w:ascii="AytoRoquetas Light Condensed" w:hAnsi="AytoRoquetas Light Condensed"/>
          <w:sz w:val="20"/>
          <w:szCs w:val="20"/>
        </w:rPr>
        <w:t>Balerma</w:t>
      </w:r>
      <w:proofErr w:type="spellEnd"/>
      <w:r w:rsidRPr="00E2138D">
        <w:rPr>
          <w:rFonts w:ascii="AytoRoquetas Light Condensed" w:hAnsi="AytoRoquetas Light Condensed"/>
          <w:sz w:val="20"/>
          <w:szCs w:val="20"/>
        </w:rPr>
        <w:t>, Balanegra, Adra y Dalías, todo ello en virtud de Acuerdo adoptado por la Junta General del Consorcio en su sesión celebrada en fecha 21 de mayo de 2002 a tenor del cual se dispuso:</w:t>
      </w:r>
    </w:p>
    <w:p w14:paraId="7763348D"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1º) […]</w:t>
      </w:r>
    </w:p>
    <w:p w14:paraId="33E3F278"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2º) Adjudicar a </w:t>
      </w:r>
      <w:proofErr w:type="spellStart"/>
      <w:r w:rsidRPr="00E2138D">
        <w:rPr>
          <w:rFonts w:ascii="AytoRoquetas Light Condensed" w:hAnsi="AytoRoquetas Light Condensed"/>
          <w:i/>
          <w:iCs/>
          <w:sz w:val="20"/>
          <w:szCs w:val="20"/>
        </w:rPr>
        <w:t>Inima-Sogesur</w:t>
      </w:r>
      <w:proofErr w:type="spellEnd"/>
      <w:r w:rsidRPr="00E2138D">
        <w:rPr>
          <w:rFonts w:ascii="AytoRoquetas Light Condensed" w:hAnsi="AytoRoquetas Light Condensed"/>
          <w:i/>
          <w:iCs/>
          <w:sz w:val="20"/>
          <w:szCs w:val="20"/>
        </w:rPr>
        <w:t xml:space="preserve"> el servicio de depuración del Servicio de Depuración de Aguas Residuales del Sector que comprende:  El Ejido, </w:t>
      </w:r>
      <w:proofErr w:type="spellStart"/>
      <w:r w:rsidRPr="00E2138D">
        <w:rPr>
          <w:rFonts w:ascii="AytoRoquetas Light Condensed" w:hAnsi="AytoRoquetas Light Condensed"/>
          <w:i/>
          <w:iCs/>
          <w:sz w:val="20"/>
          <w:szCs w:val="20"/>
        </w:rPr>
        <w:t>Balerma</w:t>
      </w:r>
      <w:proofErr w:type="spellEnd"/>
      <w:r w:rsidRPr="00E2138D">
        <w:rPr>
          <w:rFonts w:ascii="AytoRoquetas Light Condensed" w:hAnsi="AytoRoquetas Light Condensed"/>
          <w:i/>
          <w:iCs/>
          <w:sz w:val="20"/>
          <w:szCs w:val="20"/>
        </w:rPr>
        <w:t>, Balanegra, Adra, Dalías y Berja, de acuerdo con lo previsto en los pliegos que rigen en la presente contratación, en las condiciones de su oferta, y en base a los criterios del informe técnico citado.</w:t>
      </w:r>
    </w:p>
    <w:p w14:paraId="4AD9B923"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3º) Los precios a percibir de los usuarios serán: en el tratamiento mínimo obligatorio, los previstos en las ordenanzas fiscales y únicos para todo el Consorcio.</w:t>
      </w:r>
    </w:p>
    <w:p w14:paraId="1DA061DD"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4º) En el tratamiento terciario, los precios a percibir de los usuarios serán: precio unitario por m</w:t>
      </w:r>
      <w:r w:rsidRPr="00E2138D">
        <w:rPr>
          <w:rFonts w:ascii="AytoRoquetas Light Condensed" w:hAnsi="AytoRoquetas Light Condensed"/>
          <w:i/>
          <w:iCs/>
          <w:sz w:val="20"/>
          <w:szCs w:val="20"/>
          <w:vertAlign w:val="superscript"/>
        </w:rPr>
        <w:t xml:space="preserve">3 </w:t>
      </w:r>
      <w:r w:rsidRPr="00E2138D">
        <w:rPr>
          <w:rFonts w:ascii="AytoRoquetas Light Condensed" w:hAnsi="AytoRoquetas Light Condensed"/>
          <w:i/>
          <w:iCs/>
          <w:sz w:val="20"/>
          <w:szCs w:val="20"/>
        </w:rPr>
        <w:t>de agua tratada por ósmosis inversa de 0,162273€ (sin IVA) y a nivel de microfiltración de 0,078132€ (sin IVA).</w:t>
      </w:r>
    </w:p>
    <w:p w14:paraId="2CD70F36"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5º) La diferencia entre la recaudación real obtenida por el concesionario durante el primer año del contrato aplicando los siguientes precios:</w:t>
      </w:r>
    </w:p>
    <w:p w14:paraId="516F5FBC" w14:textId="77777777" w:rsidR="00537205" w:rsidRPr="00E2138D" w:rsidRDefault="00537205" w:rsidP="00537205">
      <w:pPr>
        <w:pStyle w:val="Prrafodelista"/>
        <w:numPr>
          <w:ilvl w:val="0"/>
          <w:numId w:val="4"/>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Para los servicios establecidos en el apartado 1.1 del PPT (tratamiento secundario) </w:t>
      </w:r>
    </w:p>
    <w:p w14:paraId="38B89653" w14:textId="77777777" w:rsidR="00537205" w:rsidRPr="00E2138D" w:rsidRDefault="00537205" w:rsidP="00537205">
      <w:pPr>
        <w:pStyle w:val="Prrafodelista"/>
        <w:numPr>
          <w:ilvl w:val="1"/>
          <w:numId w:val="4"/>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t>Precio unitario por metro cubico de agua facturada a 0,048081€ (sin IVA)</w:t>
      </w:r>
    </w:p>
    <w:p w14:paraId="1C6BBEA1" w14:textId="77777777" w:rsidR="00537205" w:rsidRPr="00E2138D" w:rsidRDefault="00537205" w:rsidP="00537205">
      <w:pPr>
        <w:pStyle w:val="Prrafodelista"/>
        <w:numPr>
          <w:ilvl w:val="1"/>
          <w:numId w:val="4"/>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t>Tasa unitaria del servicio por vivienda equivalente y trimestre a 3,005061€ (sin IVA)</w:t>
      </w:r>
    </w:p>
    <w:p w14:paraId="6C7CDD1C" w14:textId="77777777" w:rsidR="00537205" w:rsidRPr="00E2138D" w:rsidRDefault="00537205" w:rsidP="00537205">
      <w:pPr>
        <w:pStyle w:val="Prrafodelista"/>
        <w:numPr>
          <w:ilvl w:val="0"/>
          <w:numId w:val="4"/>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t>Para los servicios establecidos en el apartado 1.2 del PPT</w:t>
      </w:r>
    </w:p>
    <w:p w14:paraId="0D3B64F9" w14:textId="77777777" w:rsidR="00537205" w:rsidRPr="00E2138D" w:rsidRDefault="00537205" w:rsidP="00537205">
      <w:pPr>
        <w:pStyle w:val="Prrafodelista"/>
        <w:numPr>
          <w:ilvl w:val="0"/>
          <w:numId w:val="5"/>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lastRenderedPageBreak/>
        <w:t xml:space="preserve">Precio unitario por metro cubico de agua tratada a nivel de ósmosis inversa a 0,162273€ (sin IVA) y a nivel de microfiltración de 0,078132€ (sin IVA) </w:t>
      </w:r>
    </w:p>
    <w:p w14:paraId="3A9D6A37"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14:paraId="44009DF1"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6º) A partir del segundo año, la diferencia que se produzca entre la recaudación real obtenida por el concesionario aplicando los precios fijados en el punto 5º)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acordar que dicha diferencia se materialice en obras e instalaciones de mejora en los sectores que generan dichos ingresos. </w:t>
      </w:r>
    </w:p>
    <w:p w14:paraId="66B7F7D9"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14:paraId="3AAC1CBE"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8º) Facultar al </w:t>
      </w:r>
      <w:proofErr w:type="gramStart"/>
      <w:r w:rsidRPr="00E2138D">
        <w:rPr>
          <w:rFonts w:ascii="AytoRoquetas Light Condensed" w:hAnsi="AytoRoquetas Light Condensed"/>
          <w:i/>
          <w:iCs/>
          <w:sz w:val="20"/>
          <w:szCs w:val="20"/>
        </w:rPr>
        <w:t>Presidente</w:t>
      </w:r>
      <w:proofErr w:type="gramEnd"/>
      <w:r w:rsidRPr="00E2138D">
        <w:rPr>
          <w:rFonts w:ascii="AytoRoquetas Light Condensed" w:hAnsi="AytoRoquetas Light Condensed"/>
          <w:i/>
          <w:iCs/>
          <w:sz w:val="20"/>
          <w:szCs w:val="20"/>
        </w:rPr>
        <w:t xml:space="preserve"> del consorcio, para la firma de los contratos.</w:t>
      </w:r>
    </w:p>
    <w:p w14:paraId="77D787DA" w14:textId="77777777" w:rsidR="00537205" w:rsidRPr="00E2138D" w:rsidRDefault="00537205" w:rsidP="00537205">
      <w:pPr>
        <w:spacing w:after="0" w:line="288" w:lineRule="auto"/>
        <w:ind w:left="567" w:right="566"/>
        <w:jc w:val="both"/>
        <w:rPr>
          <w:rFonts w:ascii="AytoRoquetas Light Condensed" w:hAnsi="AytoRoquetas Light Condensed"/>
          <w:sz w:val="20"/>
          <w:szCs w:val="20"/>
        </w:rPr>
      </w:pPr>
    </w:p>
    <w:p w14:paraId="2283A671"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r w:rsidRPr="00E2138D">
        <w:rPr>
          <w:rFonts w:ascii="AytoRoquetas Light Condensed" w:hAnsi="AytoRoquetas Light Condensed"/>
          <w:sz w:val="20"/>
          <w:szCs w:val="20"/>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14:paraId="2F94F46D"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p>
    <w:p w14:paraId="0071B5FE"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r w:rsidRPr="00E2138D">
        <w:rPr>
          <w:rFonts w:ascii="AytoRoquetas Light Condensed" w:hAnsi="AytoRoquetas Light Condensed"/>
          <w:b/>
          <w:bCs/>
          <w:sz w:val="20"/>
          <w:szCs w:val="20"/>
        </w:rPr>
        <w:t>2</w:t>
      </w:r>
      <w:r w:rsidRPr="00E2138D">
        <w:rPr>
          <w:rFonts w:ascii="AytoRoquetas Light Condensed" w:hAnsi="AytoRoquetas Light Condensed"/>
          <w:sz w:val="20"/>
          <w:szCs w:val="20"/>
        </w:rPr>
        <w:t xml:space="preserve">. En relación al importe de las tarifas del servicio vigentes es preciso tomar en consideración que en fecha 25 de abril de 2016 se publicó en el BOP de Almería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77 la elevación a definitiva de la aprobación inicial de la modificación de la Ordenanza Fiscal Reguladora de la Tasa por el Servicio de Depuración que queda redactado conforme al siguiente tenor:</w:t>
      </w:r>
    </w:p>
    <w:p w14:paraId="255F9430"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5.1 La cuota tributaria a exigir por la prestación de los servicios de transporte en alta y depuración de agua residual será la siguiente:</w:t>
      </w:r>
    </w:p>
    <w:p w14:paraId="5EC4B0C8"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CUADRO TARIFA</w:t>
      </w:r>
    </w:p>
    <w:tbl>
      <w:tblPr>
        <w:tblW w:w="0" w:type="auto"/>
        <w:tblInd w:w="704" w:type="dxa"/>
        <w:shd w:val="clear" w:color="auto" w:fill="FFFFFF"/>
        <w:tblLayout w:type="fixed"/>
        <w:tblLook w:val="0000" w:firstRow="0" w:lastRow="0" w:firstColumn="0" w:lastColumn="0" w:noHBand="0" w:noVBand="0"/>
      </w:tblPr>
      <w:tblGrid>
        <w:gridCol w:w="2033"/>
        <w:gridCol w:w="2416"/>
        <w:gridCol w:w="2858"/>
      </w:tblGrid>
      <w:tr w:rsidR="00537205" w:rsidRPr="00E2138D" w14:paraId="4A75FD8D" w14:textId="77777777" w:rsidTr="00475DD6">
        <w:trPr>
          <w:cantSplit/>
          <w:trHeight w:val="220"/>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3ABEC89A"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4422994E"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IMPORTE SIN I.</w:t>
            </w:r>
            <w:proofErr w:type="gramStart"/>
            <w:r w:rsidRPr="00E2138D">
              <w:rPr>
                <w:rFonts w:ascii="AytoRoquetas Light Condensed" w:hAnsi="AytoRoquetas Light Condensed"/>
                <w:i/>
                <w:iCs/>
                <w:sz w:val="20"/>
                <w:szCs w:val="20"/>
                <w:lang w:val="es-ES_tradnl"/>
              </w:rPr>
              <w:t>V.A</w:t>
            </w:r>
            <w:proofErr w:type="gramEnd"/>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602B9C"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p>
        </w:tc>
      </w:tr>
      <w:tr w:rsidR="00537205" w:rsidRPr="00E2138D" w14:paraId="03234023" w14:textId="77777777" w:rsidTr="00475DD6">
        <w:trPr>
          <w:cantSplit/>
          <w:trHeight w:val="220"/>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2B8CEA0F"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1. PARTE FIJA</w:t>
            </w: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57FC0123"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6,50</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9C484B0"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Euros/</w:t>
            </w:r>
            <w:proofErr w:type="spellStart"/>
            <w:r w:rsidRPr="00E2138D">
              <w:rPr>
                <w:rFonts w:ascii="AytoRoquetas Light Condensed" w:hAnsi="AytoRoquetas Light Condensed"/>
                <w:i/>
                <w:iCs/>
                <w:sz w:val="20"/>
                <w:szCs w:val="20"/>
                <w:lang w:val="es-ES_tradnl"/>
              </w:rPr>
              <w:t>vvda</w:t>
            </w:r>
            <w:proofErr w:type="spellEnd"/>
            <w:r w:rsidRPr="00E2138D">
              <w:rPr>
                <w:rFonts w:ascii="AytoRoquetas Light Condensed" w:hAnsi="AytoRoquetas Light Condensed"/>
                <w:i/>
                <w:iCs/>
                <w:sz w:val="20"/>
                <w:szCs w:val="20"/>
                <w:lang w:val="es-ES_tradnl"/>
              </w:rPr>
              <w:t xml:space="preserve"> equivalente/trimestre</w:t>
            </w:r>
          </w:p>
        </w:tc>
      </w:tr>
      <w:tr w:rsidR="00537205" w:rsidRPr="00E2138D" w14:paraId="773B34BB" w14:textId="77777777" w:rsidTr="00475DD6">
        <w:trPr>
          <w:cantSplit/>
          <w:trHeight w:val="220"/>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7A603D47"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2. PARTE VARIABLE</w:t>
            </w: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591BC055"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0,1168</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AE713F"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Euros/m3</w:t>
            </w:r>
          </w:p>
        </w:tc>
      </w:tr>
      <w:tr w:rsidR="00537205" w:rsidRPr="00E2138D" w14:paraId="2E83950D" w14:textId="77777777" w:rsidTr="00475DD6">
        <w:trPr>
          <w:cantSplit/>
          <w:trHeight w:val="400"/>
        </w:trPr>
        <w:tc>
          <w:tcPr>
            <w:tcW w:w="7307" w:type="dxa"/>
            <w:gridSpan w:val="3"/>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3562E8A3"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Esta parte variable se aplicará a los metros cúbicos de agua utilizados en cada vivienda o finca con independencia del caudal vertido</w:t>
            </w:r>
          </w:p>
        </w:tc>
      </w:tr>
    </w:tbl>
    <w:p w14:paraId="08F9D36A" w14:textId="77777777" w:rsidR="00537205" w:rsidRPr="00E2138D" w:rsidRDefault="00537205" w:rsidP="00537205">
      <w:pPr>
        <w:spacing w:after="0" w:line="288" w:lineRule="auto"/>
        <w:jc w:val="both"/>
        <w:rPr>
          <w:rFonts w:ascii="AytoRoquetas Light Condensed" w:hAnsi="AytoRoquetas Light Condensed"/>
          <w:i/>
          <w:iCs/>
          <w:sz w:val="20"/>
          <w:szCs w:val="20"/>
          <w:lang w:val="es-ES_tradnl"/>
        </w:rPr>
      </w:pPr>
    </w:p>
    <w:p w14:paraId="73304C1E"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VIVIENDAS EQUIVALENTES</w:t>
      </w:r>
    </w:p>
    <w:p w14:paraId="1EE50719"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Para el cálculo de la cuota fija, los usos distintos a la vivienda, se transformarán en viviendas equivalentes, mediante la siguiente tabla.</w:t>
      </w:r>
    </w:p>
    <w:p w14:paraId="534E08A5"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TABLA DE EQUIVALENCIAS</w:t>
      </w:r>
    </w:p>
    <w:p w14:paraId="73AE957A"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Alojamientos, locales y establecimientos:</w:t>
      </w:r>
    </w:p>
    <w:p w14:paraId="0BA96CF9"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Almacenes, grandes superficies, supermercados, mercados, organismos oficiales y establecimientos en general:</w:t>
      </w:r>
    </w:p>
    <w:p w14:paraId="7DC64579" w14:textId="77777777" w:rsidR="00537205" w:rsidRPr="00E2138D" w:rsidRDefault="00537205" w:rsidP="00537205">
      <w:pPr>
        <w:numPr>
          <w:ilvl w:val="0"/>
          <w:numId w:val="1"/>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Hasta 100 metros cuadrados construidos 1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w:t>
      </w:r>
    </w:p>
    <w:p w14:paraId="3A643BED" w14:textId="77777777" w:rsidR="00537205" w:rsidRPr="00E2138D" w:rsidRDefault="00537205" w:rsidP="00537205">
      <w:pPr>
        <w:numPr>
          <w:ilvl w:val="0"/>
          <w:numId w:val="1"/>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Exceso de 100 metros cuadrados 0,01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/m2 exceso.</w:t>
      </w:r>
    </w:p>
    <w:p w14:paraId="325BCE70" w14:textId="77777777" w:rsidR="00537205" w:rsidRPr="00E2138D" w:rsidRDefault="00537205" w:rsidP="00537205">
      <w:pPr>
        <w:numPr>
          <w:ilvl w:val="0"/>
          <w:numId w:val="1"/>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Cafeterías, bares, pubs y restaurantes: hasta 40 metros cuadrados 1,9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w:t>
      </w:r>
    </w:p>
    <w:p w14:paraId="070B6247" w14:textId="77777777" w:rsidR="00537205" w:rsidRPr="00E2138D" w:rsidRDefault="00537205" w:rsidP="00537205">
      <w:pPr>
        <w:numPr>
          <w:ilvl w:val="0"/>
          <w:numId w:val="1"/>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Exceso de 40 metros cuadrados 0,03 </w:t>
      </w:r>
      <w:proofErr w:type="spellStart"/>
      <w:proofErr w:type="gram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w:t>
      </w:r>
      <w:proofErr w:type="gramEnd"/>
      <w:r w:rsidRPr="00E2138D">
        <w:rPr>
          <w:rFonts w:ascii="AytoRoquetas Light Condensed" w:hAnsi="AytoRoquetas Light Condensed"/>
          <w:i/>
          <w:iCs/>
          <w:sz w:val="20"/>
          <w:szCs w:val="20"/>
          <w:lang w:val="es-ES_tradnl"/>
        </w:rPr>
        <w:t>m2 exceso.</w:t>
      </w:r>
    </w:p>
    <w:p w14:paraId="5AC5EB20"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Establecimientos hoteleros:</w:t>
      </w:r>
    </w:p>
    <w:p w14:paraId="75DA0057" w14:textId="77777777" w:rsidR="00537205" w:rsidRPr="00E2138D" w:rsidRDefault="00537205" w:rsidP="00537205">
      <w:pPr>
        <w:numPr>
          <w:ilvl w:val="0"/>
          <w:numId w:val="2"/>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Por habitación 0,4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w:t>
      </w:r>
    </w:p>
    <w:p w14:paraId="474C0204"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Talleres e industrias:</w:t>
      </w:r>
    </w:p>
    <w:p w14:paraId="49F62965"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Talleres, lavado de coches en circuito cerrado, artesanía y pequeña industria no contaminante con vertidos asimilables a los domésticos:</w:t>
      </w:r>
    </w:p>
    <w:p w14:paraId="039EEEA6" w14:textId="77777777" w:rsidR="00537205" w:rsidRPr="00E2138D" w:rsidRDefault="00537205" w:rsidP="00537205">
      <w:pPr>
        <w:numPr>
          <w:ilvl w:val="0"/>
          <w:numId w:val="3"/>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Hasta 100 m2 </w:t>
      </w:r>
      <w:proofErr w:type="spellStart"/>
      <w:r w:rsidRPr="00E2138D">
        <w:rPr>
          <w:rFonts w:ascii="AytoRoquetas Light Condensed" w:hAnsi="AytoRoquetas Light Condensed"/>
          <w:i/>
          <w:iCs/>
          <w:sz w:val="20"/>
          <w:szCs w:val="20"/>
          <w:lang w:val="es-ES_tradnl"/>
        </w:rPr>
        <w:t>eq</w:t>
      </w:r>
      <w:proofErr w:type="spellEnd"/>
      <w:r w:rsidRPr="00E2138D">
        <w:rPr>
          <w:rFonts w:ascii="AytoRoquetas Light Condensed" w:hAnsi="AytoRoquetas Light Condensed"/>
          <w:i/>
          <w:iCs/>
          <w:sz w:val="20"/>
          <w:szCs w:val="20"/>
          <w:lang w:val="es-ES_tradnl"/>
        </w:rPr>
        <w:t>.</w:t>
      </w:r>
    </w:p>
    <w:p w14:paraId="0335F973" w14:textId="77777777" w:rsidR="00537205" w:rsidRPr="00E2138D" w:rsidRDefault="00537205" w:rsidP="00537205">
      <w:pPr>
        <w:numPr>
          <w:ilvl w:val="0"/>
          <w:numId w:val="3"/>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Exceso de 100 m2: 0,008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/m2 exceso.</w:t>
      </w:r>
    </w:p>
    <w:p w14:paraId="48AF6B85" w14:textId="77777777" w:rsidR="00537205" w:rsidRPr="00E2138D" w:rsidRDefault="00537205" w:rsidP="00537205">
      <w:pPr>
        <w:numPr>
          <w:ilvl w:val="0"/>
          <w:numId w:val="3"/>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Talleres o industrias con vertidos especiales. El Consorcio fijará si el vertido es compatible con la estación de tratamiento y la equivalencia en viviendas en función de la carga contaminante en relación con el promedio de las viviendas normales.</w:t>
      </w:r>
    </w:p>
    <w:p w14:paraId="0CBCB6BF" w14:textId="77777777" w:rsidR="00537205" w:rsidRPr="00E2138D" w:rsidRDefault="00537205" w:rsidP="00537205">
      <w:pPr>
        <w:spacing w:after="0" w:line="288" w:lineRule="auto"/>
        <w:ind w:left="567" w:right="566"/>
        <w:jc w:val="both"/>
        <w:rPr>
          <w:rFonts w:ascii="AytoRoquetas Light Condensed" w:hAnsi="AytoRoquetas Light Condensed"/>
          <w:sz w:val="20"/>
          <w:szCs w:val="20"/>
          <w:lang w:val="es-ES_tradnl"/>
        </w:rPr>
      </w:pPr>
      <w:r w:rsidRPr="00E2138D">
        <w:rPr>
          <w:rFonts w:ascii="AytoRoquetas Light Condensed" w:hAnsi="AytoRoquetas Light Condensed"/>
          <w:i/>
          <w:iCs/>
          <w:sz w:val="20"/>
          <w:szCs w:val="20"/>
          <w:lang w:val="es-ES_tradnl"/>
        </w:rPr>
        <w:t>Las industrias que en sus procesos productivos utilicen agua de manera que no llegue a verterse a la red de saneamiento, podrán solicitar una reducción de hasta el 25 % de la cuota variable</w:t>
      </w:r>
      <w:r w:rsidRPr="00E2138D">
        <w:rPr>
          <w:rFonts w:ascii="AytoRoquetas Light Condensed" w:hAnsi="AytoRoquetas Light Condensed"/>
          <w:sz w:val="20"/>
          <w:szCs w:val="20"/>
          <w:lang w:val="es-ES_tradnl"/>
        </w:rPr>
        <w:t>.</w:t>
      </w:r>
    </w:p>
    <w:p w14:paraId="3EBB774F" w14:textId="77777777" w:rsidR="00537205" w:rsidRPr="00E2138D" w:rsidRDefault="00537205" w:rsidP="00537205">
      <w:pPr>
        <w:spacing w:after="0" w:line="288" w:lineRule="auto"/>
        <w:jc w:val="both"/>
        <w:rPr>
          <w:rFonts w:ascii="AytoRoquetas Light Condensed" w:hAnsi="AytoRoquetas Light Condensed"/>
          <w:sz w:val="20"/>
          <w:szCs w:val="20"/>
          <w:lang w:val="es-ES_tradnl"/>
        </w:rPr>
      </w:pPr>
    </w:p>
    <w:p w14:paraId="38DCD4D6" w14:textId="77777777" w:rsidR="00537205" w:rsidRPr="00E2138D" w:rsidRDefault="00537205" w:rsidP="00537205">
      <w:pPr>
        <w:spacing w:after="0" w:line="288" w:lineRule="auto"/>
        <w:ind w:firstLine="567"/>
        <w:jc w:val="both"/>
        <w:rPr>
          <w:rFonts w:ascii="AytoRoquetas Light Condensed" w:hAnsi="AytoRoquetas Light Condensed"/>
          <w:sz w:val="20"/>
          <w:szCs w:val="20"/>
          <w:lang w:val="es-ES_tradnl"/>
        </w:rPr>
      </w:pPr>
      <w:r w:rsidRPr="00E2138D">
        <w:rPr>
          <w:rFonts w:ascii="AytoRoquetas Light Condensed" w:hAnsi="AytoRoquetas Light Condensed"/>
          <w:sz w:val="20"/>
          <w:szCs w:val="20"/>
          <w:lang w:val="es-ES_tradnl"/>
        </w:rPr>
        <w:t>Se añade un nuevo epígrafe al artículo 5 para incluir el precio del transporte de agua del tratamiento terciario. Quedaría como sigue:</w:t>
      </w:r>
    </w:p>
    <w:p w14:paraId="0ADDE5FE" w14:textId="77777777" w:rsidR="00537205" w:rsidRPr="00E2138D" w:rsidRDefault="00537205" w:rsidP="00537205">
      <w:pPr>
        <w:spacing w:after="0" w:line="288" w:lineRule="auto"/>
        <w:jc w:val="both"/>
        <w:rPr>
          <w:rFonts w:ascii="AytoRoquetas Light Condensed" w:hAnsi="AytoRoquetas Light Condensed"/>
          <w:sz w:val="20"/>
          <w:szCs w:val="20"/>
          <w:lang w:val="es-ES_tradnl"/>
        </w:rPr>
      </w:pPr>
    </w:p>
    <w:p w14:paraId="7DCD095A"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5.3. La cuota tributaria a exigir por los servicios del tratamiento terciario (filtro de arena) del consorcio de municipios del poniente almeriense por el concepto de (PRODUCCIÓN) y para un hectómetro cúbico al año es la siguiente:</w:t>
      </w:r>
    </w:p>
    <w:p w14:paraId="3DECB7DC"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CUADRO TARIFA</w:t>
      </w:r>
    </w:p>
    <w:tbl>
      <w:tblPr>
        <w:tblW w:w="0" w:type="auto"/>
        <w:tblInd w:w="557" w:type="dxa"/>
        <w:shd w:val="clear" w:color="auto" w:fill="FFFFFF"/>
        <w:tblLayout w:type="fixed"/>
        <w:tblLook w:val="0000" w:firstRow="0" w:lastRow="0" w:firstColumn="0" w:lastColumn="0" w:noHBand="0" w:noVBand="0"/>
      </w:tblPr>
      <w:tblGrid>
        <w:gridCol w:w="2835"/>
        <w:gridCol w:w="2410"/>
        <w:gridCol w:w="2209"/>
      </w:tblGrid>
      <w:tr w:rsidR="00537205" w:rsidRPr="00E2138D" w14:paraId="3B7DBA3B" w14:textId="77777777" w:rsidTr="00475DD6">
        <w:trPr>
          <w:cantSplit/>
          <w:trHeight w:val="22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5637A2"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A10AFC" w14:textId="77777777" w:rsidR="00537205" w:rsidRPr="00E2138D" w:rsidRDefault="00537205" w:rsidP="00475DD6">
            <w:pPr>
              <w:spacing w:after="0" w:line="288" w:lineRule="auto"/>
              <w:ind w:left="-7"/>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IMPORTE SIN I.</w:t>
            </w:r>
            <w:proofErr w:type="gramStart"/>
            <w:r w:rsidRPr="00E2138D">
              <w:rPr>
                <w:rFonts w:ascii="AytoRoquetas Light Condensed" w:hAnsi="AytoRoquetas Light Condensed"/>
                <w:i/>
                <w:iCs/>
                <w:sz w:val="20"/>
                <w:szCs w:val="20"/>
                <w:lang w:val="es-ES_tradnl"/>
              </w:rPr>
              <w:t>V.A</w:t>
            </w:r>
            <w:proofErr w:type="gramEnd"/>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2F23D0" w14:textId="77777777" w:rsidR="00537205" w:rsidRPr="00E2138D" w:rsidRDefault="00537205" w:rsidP="00475DD6">
            <w:pPr>
              <w:spacing w:after="0" w:line="288" w:lineRule="auto"/>
              <w:ind w:left="-13"/>
              <w:jc w:val="both"/>
              <w:rPr>
                <w:rFonts w:ascii="AytoRoquetas Light Condensed" w:hAnsi="AytoRoquetas Light Condensed"/>
                <w:i/>
                <w:iCs/>
                <w:sz w:val="20"/>
                <w:szCs w:val="20"/>
                <w:lang w:val="es-ES_tradnl"/>
              </w:rPr>
            </w:pPr>
          </w:p>
        </w:tc>
      </w:tr>
      <w:tr w:rsidR="00537205" w:rsidRPr="00E2138D" w14:paraId="70F02A29" w14:textId="77777777" w:rsidTr="00475DD6">
        <w:trPr>
          <w:cantSplit/>
          <w:trHeight w:val="40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15E30D7" w14:textId="77777777" w:rsidR="00537205" w:rsidRPr="00E2138D" w:rsidRDefault="00537205" w:rsidP="00475DD6">
            <w:pPr>
              <w:spacing w:after="0" w:line="288" w:lineRule="auto"/>
              <w:ind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1. PARTE FIJA PRODUCCIÓN TERCIARIO</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8485EA" w14:textId="77777777" w:rsidR="00537205" w:rsidRPr="00E2138D" w:rsidRDefault="00537205" w:rsidP="00475DD6">
            <w:pPr>
              <w:spacing w:after="0" w:line="288" w:lineRule="auto"/>
              <w:ind w:left="-7"/>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0</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124BBB" w14:textId="77777777" w:rsidR="00537205" w:rsidRPr="00E2138D" w:rsidRDefault="00537205" w:rsidP="00475DD6">
            <w:pPr>
              <w:spacing w:after="0" w:line="288" w:lineRule="auto"/>
              <w:ind w:left="-13"/>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Euros/cliente/trimestre</w:t>
            </w:r>
          </w:p>
        </w:tc>
      </w:tr>
      <w:tr w:rsidR="00537205" w:rsidRPr="00E2138D" w14:paraId="1D91B288" w14:textId="77777777" w:rsidTr="00475DD6">
        <w:trPr>
          <w:cantSplit/>
          <w:trHeight w:val="40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88E5005" w14:textId="77777777" w:rsidR="00537205" w:rsidRPr="00E2138D" w:rsidRDefault="00537205" w:rsidP="00475DD6">
            <w:pPr>
              <w:spacing w:after="0" w:line="288" w:lineRule="auto"/>
              <w:ind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2. PARTE VARIABLE PRODUCCIÓN TERCIARIO</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A0A3AA" w14:textId="77777777" w:rsidR="00537205" w:rsidRPr="00E2138D" w:rsidRDefault="00537205" w:rsidP="00475DD6">
            <w:pPr>
              <w:spacing w:after="0" w:line="288" w:lineRule="auto"/>
              <w:ind w:left="-7"/>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0,1656</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B36E0D" w14:textId="77777777" w:rsidR="00537205" w:rsidRPr="00E2138D" w:rsidRDefault="00537205" w:rsidP="00475DD6">
            <w:pPr>
              <w:spacing w:after="0" w:line="288" w:lineRule="auto"/>
              <w:ind w:left="-13"/>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Euros/m3</w:t>
            </w:r>
          </w:p>
        </w:tc>
      </w:tr>
      <w:tr w:rsidR="00537205" w:rsidRPr="00E2138D" w14:paraId="747E1B55" w14:textId="77777777" w:rsidTr="00475DD6">
        <w:trPr>
          <w:cantSplit/>
          <w:trHeight w:val="180"/>
        </w:trPr>
        <w:tc>
          <w:tcPr>
            <w:tcW w:w="7454"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97ABBA8" w14:textId="77777777" w:rsidR="00537205" w:rsidRPr="00E2138D" w:rsidRDefault="00537205" w:rsidP="00475DD6">
            <w:pPr>
              <w:spacing w:after="0" w:line="288" w:lineRule="auto"/>
              <w:ind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Esta parte variable se aplicará a los metros cúbicos de agua servidos en el punto de entrega fijado.</w:t>
            </w:r>
          </w:p>
        </w:tc>
      </w:tr>
    </w:tbl>
    <w:p w14:paraId="24EB7D19" w14:textId="77777777" w:rsidR="00537205" w:rsidRPr="00E2138D" w:rsidRDefault="00537205" w:rsidP="00537205">
      <w:pPr>
        <w:spacing w:after="0" w:line="288" w:lineRule="auto"/>
        <w:jc w:val="both"/>
        <w:rPr>
          <w:rFonts w:ascii="AytoRoquetas Light Condensed" w:hAnsi="AytoRoquetas Light Condensed"/>
          <w:sz w:val="20"/>
          <w:szCs w:val="20"/>
        </w:rPr>
      </w:pPr>
    </w:p>
    <w:p w14:paraId="792AED3D"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b/>
          <w:bCs/>
          <w:sz w:val="20"/>
          <w:szCs w:val="20"/>
        </w:rPr>
        <w:t>3</w:t>
      </w:r>
      <w:r w:rsidRPr="00E2138D">
        <w:rPr>
          <w:rFonts w:ascii="AytoRoquetas Light Condensed" w:hAnsi="AytoRoquetas Light Condensed"/>
          <w:sz w:val="20"/>
          <w:szCs w:val="20"/>
        </w:rPr>
        <w:t xml:space="preserve">. El 28 de enero de 2021 se publicó en el BOP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w:t>
      </w:r>
      <w:proofErr w:type="spellStart"/>
      <w:r w:rsidRPr="00E2138D">
        <w:rPr>
          <w:rFonts w:ascii="AytoRoquetas Light Condensed" w:hAnsi="AytoRoquetas Light Condensed"/>
          <w:sz w:val="20"/>
          <w:szCs w:val="20"/>
        </w:rPr>
        <w:t>publicas</w:t>
      </w:r>
      <w:proofErr w:type="spellEnd"/>
      <w:r w:rsidRPr="00E2138D">
        <w:rPr>
          <w:rFonts w:ascii="AytoRoquetas Light Condensed" w:hAnsi="AytoRoquetas Light Condensed"/>
          <w:sz w:val="20"/>
          <w:szCs w:val="20"/>
        </w:rPr>
        <w:t xml:space="preserve"> a la modificación de la referida Ordenanza, todo ello en cumplimiento de lo acordado por la Junta General del Consorcio en su sesión celebrada en fecha 30 de noviembre de 2020. </w:t>
      </w:r>
    </w:p>
    <w:p w14:paraId="7EDC3019"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p>
    <w:p w14:paraId="602E217F"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b/>
          <w:bCs/>
          <w:sz w:val="20"/>
          <w:szCs w:val="20"/>
        </w:rPr>
        <w:t>4</w:t>
      </w:r>
      <w:r w:rsidRPr="00E2138D">
        <w:rPr>
          <w:rFonts w:ascii="AytoRoquetas Light Condensed" w:hAnsi="AytoRoquetas Light Condensed"/>
          <w:sz w:val="20"/>
          <w:szCs w:val="20"/>
        </w:rPr>
        <w:t xml:space="preserve">. Mediante Decreto dictado por la Presidencia del CIAP de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publicándose en el BOP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185 de fecha 27 de septiembre de 2021, quedando redactado el art. 5 de la citada Ordenanza con arreglo al siguiente tenor:</w:t>
      </w:r>
    </w:p>
    <w:p w14:paraId="64C7ED0F"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p>
    <w:p w14:paraId="64DE562D" w14:textId="77777777" w:rsidR="00537205" w:rsidRPr="00E2138D" w:rsidRDefault="00537205" w:rsidP="00537205">
      <w:pPr>
        <w:spacing w:after="0" w:line="288" w:lineRule="auto"/>
        <w:ind w:left="567"/>
        <w:jc w:val="both"/>
        <w:rPr>
          <w:rFonts w:ascii="AytoRoquetas Light Condensed" w:hAnsi="AytoRoquetas Light Condensed"/>
          <w:b/>
          <w:bCs/>
          <w:i/>
          <w:iCs/>
          <w:sz w:val="20"/>
          <w:szCs w:val="20"/>
        </w:rPr>
      </w:pPr>
      <w:r w:rsidRPr="00E2138D">
        <w:rPr>
          <w:rFonts w:ascii="AytoRoquetas Light Condensed" w:hAnsi="AytoRoquetas Light Condensed"/>
          <w:b/>
          <w:bCs/>
          <w:i/>
          <w:iCs/>
          <w:sz w:val="20"/>
          <w:szCs w:val="20"/>
        </w:rPr>
        <w:t>Artículo 5°.</w:t>
      </w:r>
    </w:p>
    <w:p w14:paraId="409CF49C"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5.1. La cuantía de la prestación patrimonial de carácter público no tributaria regulada en este Capítulo, será fijada por las Tarifas contenidas en el apartado siguiente:</w:t>
      </w:r>
    </w:p>
    <w:p w14:paraId="6060CC9A"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CUADRO TARIFA</w:t>
      </w:r>
    </w:p>
    <w:tbl>
      <w:tblPr>
        <w:tblStyle w:val="Tablaconcuadrcula"/>
        <w:tblW w:w="0" w:type="auto"/>
        <w:tblInd w:w="562" w:type="dxa"/>
        <w:tblLook w:val="04A0" w:firstRow="1" w:lastRow="0" w:firstColumn="1" w:lastColumn="0" w:noHBand="0" w:noVBand="1"/>
      </w:tblPr>
      <w:tblGrid>
        <w:gridCol w:w="2078"/>
        <w:gridCol w:w="2640"/>
        <w:gridCol w:w="2640"/>
      </w:tblGrid>
      <w:tr w:rsidR="00537205" w:rsidRPr="00E2138D" w14:paraId="72AD5B32" w14:textId="77777777" w:rsidTr="00475DD6">
        <w:tc>
          <w:tcPr>
            <w:tcW w:w="2078" w:type="dxa"/>
          </w:tcPr>
          <w:p w14:paraId="7C96182B" w14:textId="77777777" w:rsidR="00537205" w:rsidRPr="00E2138D" w:rsidRDefault="00537205" w:rsidP="00475DD6">
            <w:pPr>
              <w:spacing w:line="288" w:lineRule="auto"/>
              <w:jc w:val="both"/>
              <w:rPr>
                <w:rFonts w:ascii="AytoRoquetas Light Condensed" w:hAnsi="AytoRoquetas Light Condensed"/>
                <w:i/>
                <w:iCs/>
              </w:rPr>
            </w:pPr>
          </w:p>
        </w:tc>
        <w:tc>
          <w:tcPr>
            <w:tcW w:w="2640" w:type="dxa"/>
          </w:tcPr>
          <w:p w14:paraId="252A1CDD"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IMPORTE SIN IVA</w:t>
            </w:r>
          </w:p>
        </w:tc>
        <w:tc>
          <w:tcPr>
            <w:tcW w:w="2640" w:type="dxa"/>
          </w:tcPr>
          <w:p w14:paraId="5BA20BD9" w14:textId="77777777" w:rsidR="00537205" w:rsidRPr="00E2138D" w:rsidRDefault="00537205" w:rsidP="00475DD6">
            <w:pPr>
              <w:spacing w:line="288" w:lineRule="auto"/>
              <w:jc w:val="both"/>
              <w:rPr>
                <w:rFonts w:ascii="AytoRoquetas Light Condensed" w:hAnsi="AytoRoquetas Light Condensed"/>
                <w:i/>
                <w:iCs/>
              </w:rPr>
            </w:pPr>
          </w:p>
        </w:tc>
      </w:tr>
      <w:tr w:rsidR="00537205" w:rsidRPr="00E2138D" w14:paraId="4BF2176B" w14:textId="77777777" w:rsidTr="00475DD6">
        <w:tc>
          <w:tcPr>
            <w:tcW w:w="2078" w:type="dxa"/>
          </w:tcPr>
          <w:p w14:paraId="7F90856C" w14:textId="77777777" w:rsidR="00537205" w:rsidRPr="00E2138D" w:rsidRDefault="00537205" w:rsidP="00537205">
            <w:pPr>
              <w:pStyle w:val="Prrafodelista"/>
              <w:numPr>
                <w:ilvl w:val="0"/>
                <w:numId w:val="6"/>
              </w:numPr>
              <w:spacing w:before="0" w:after="0" w:line="288" w:lineRule="auto"/>
              <w:rPr>
                <w:rFonts w:ascii="AytoRoquetas Light Condensed" w:hAnsi="AytoRoquetas Light Condensed"/>
                <w:i/>
                <w:iCs/>
              </w:rPr>
            </w:pPr>
            <w:r w:rsidRPr="00E2138D">
              <w:rPr>
                <w:rFonts w:ascii="AytoRoquetas Light Condensed" w:hAnsi="AytoRoquetas Light Condensed"/>
                <w:i/>
                <w:iCs/>
              </w:rPr>
              <w:t>PARTE FIJA</w:t>
            </w:r>
          </w:p>
        </w:tc>
        <w:tc>
          <w:tcPr>
            <w:tcW w:w="2640" w:type="dxa"/>
            <w:vAlign w:val="center"/>
          </w:tcPr>
          <w:p w14:paraId="665B6E9A"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6.50</w:t>
            </w:r>
          </w:p>
        </w:tc>
        <w:tc>
          <w:tcPr>
            <w:tcW w:w="2640" w:type="dxa"/>
            <w:vAlign w:val="center"/>
          </w:tcPr>
          <w:p w14:paraId="5CAEF936"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Euros/</w:t>
            </w:r>
            <w:proofErr w:type="spellStart"/>
            <w:r w:rsidRPr="00E2138D">
              <w:rPr>
                <w:rFonts w:ascii="AytoRoquetas Light Condensed" w:hAnsi="AytoRoquetas Light Condensed"/>
                <w:i/>
                <w:iCs/>
              </w:rPr>
              <w:t>vvda</w:t>
            </w:r>
            <w:proofErr w:type="spellEnd"/>
          </w:p>
          <w:p w14:paraId="3F9B82B4"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Equivalente/trimestre</w:t>
            </w:r>
          </w:p>
        </w:tc>
      </w:tr>
      <w:tr w:rsidR="00537205" w:rsidRPr="00E2138D" w14:paraId="5696430C" w14:textId="77777777" w:rsidTr="00475DD6">
        <w:tc>
          <w:tcPr>
            <w:tcW w:w="2078" w:type="dxa"/>
          </w:tcPr>
          <w:p w14:paraId="21795085" w14:textId="77777777" w:rsidR="00537205" w:rsidRPr="00E2138D" w:rsidRDefault="00537205" w:rsidP="00537205">
            <w:pPr>
              <w:pStyle w:val="Prrafodelista"/>
              <w:numPr>
                <w:ilvl w:val="0"/>
                <w:numId w:val="6"/>
              </w:numPr>
              <w:spacing w:before="0" w:after="0" w:line="288" w:lineRule="auto"/>
              <w:rPr>
                <w:rFonts w:ascii="AytoRoquetas Light Condensed" w:hAnsi="AytoRoquetas Light Condensed"/>
                <w:i/>
                <w:iCs/>
              </w:rPr>
            </w:pPr>
            <w:r w:rsidRPr="00E2138D">
              <w:rPr>
                <w:rFonts w:ascii="AytoRoquetas Light Condensed" w:hAnsi="AytoRoquetas Light Condensed"/>
                <w:i/>
                <w:iCs/>
              </w:rPr>
              <w:t>PARTE VARIABLE</w:t>
            </w:r>
          </w:p>
        </w:tc>
        <w:tc>
          <w:tcPr>
            <w:tcW w:w="2640" w:type="dxa"/>
            <w:vAlign w:val="center"/>
          </w:tcPr>
          <w:p w14:paraId="4612C054"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0.1168</w:t>
            </w:r>
          </w:p>
        </w:tc>
        <w:tc>
          <w:tcPr>
            <w:tcW w:w="2640" w:type="dxa"/>
            <w:vAlign w:val="center"/>
          </w:tcPr>
          <w:p w14:paraId="58693154"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Euros/m3</w:t>
            </w:r>
          </w:p>
        </w:tc>
      </w:tr>
      <w:tr w:rsidR="00537205" w:rsidRPr="00E2138D" w14:paraId="07E35804" w14:textId="77777777" w:rsidTr="00475DD6">
        <w:tc>
          <w:tcPr>
            <w:tcW w:w="7358" w:type="dxa"/>
            <w:gridSpan w:val="3"/>
          </w:tcPr>
          <w:p w14:paraId="5D9713E6"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Esta parte variable se aplicará a los metros cúbicos de agua utilizados en cada vivienda o finca con independencia del caudal vertido</w:t>
            </w:r>
          </w:p>
        </w:tc>
      </w:tr>
    </w:tbl>
    <w:p w14:paraId="37B455CA" w14:textId="77777777" w:rsidR="00537205" w:rsidRPr="00E2138D" w:rsidRDefault="00537205" w:rsidP="00537205">
      <w:pPr>
        <w:spacing w:after="0" w:line="288" w:lineRule="auto"/>
        <w:jc w:val="both"/>
        <w:rPr>
          <w:rFonts w:ascii="AytoRoquetas Light Condensed" w:hAnsi="AytoRoquetas Light Condensed"/>
          <w:i/>
          <w:iCs/>
          <w:sz w:val="20"/>
          <w:szCs w:val="20"/>
        </w:rPr>
      </w:pPr>
    </w:p>
    <w:p w14:paraId="1C4BF309"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VIVIENDAS EQUIVALENTES</w:t>
      </w:r>
    </w:p>
    <w:p w14:paraId="28B77324"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20C901E0"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TABLA DE EQUIVALENCIAS</w:t>
      </w:r>
    </w:p>
    <w:p w14:paraId="5A59A106"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Alojamientos, locales y establecimientos:</w:t>
      </w:r>
    </w:p>
    <w:p w14:paraId="3B835B4A"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Almacenes, grandes superficies, supermercados, mercados, organismos oficiales y establecimientos en general:</w:t>
      </w:r>
    </w:p>
    <w:p w14:paraId="3952063E"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Hasta 100 metros cuadrados construidos 1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w:t>
      </w:r>
    </w:p>
    <w:p w14:paraId="1AC642A1"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Exceso de 100 metros cuadrados 0,01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/m2 exceso.</w:t>
      </w:r>
    </w:p>
    <w:p w14:paraId="42F6E69E"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Cafeterías, bares, pubs y restaurantes: hasta 40 metros cuadrados 1,9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w:t>
      </w:r>
    </w:p>
    <w:p w14:paraId="14FA03DB"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Exceso de 40 metros cuadrados 0,03 </w:t>
      </w:r>
      <w:proofErr w:type="spellStart"/>
      <w:proofErr w:type="gram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w:t>
      </w:r>
      <w:proofErr w:type="gramEnd"/>
      <w:r w:rsidRPr="00E2138D">
        <w:rPr>
          <w:rFonts w:ascii="AytoRoquetas Light Condensed" w:hAnsi="AytoRoquetas Light Condensed"/>
          <w:i/>
          <w:iCs/>
          <w:sz w:val="20"/>
          <w:szCs w:val="20"/>
        </w:rPr>
        <w:t>m2 exceso. Establecimientos hoteleros:</w:t>
      </w:r>
    </w:p>
    <w:p w14:paraId="5672B4D6"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Por habitación 0,4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 Talleres e industrias:</w:t>
      </w:r>
    </w:p>
    <w:p w14:paraId="09904C23"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7FC59EBF"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 -</w:t>
      </w:r>
      <w:r w:rsidRPr="00E2138D">
        <w:rPr>
          <w:rFonts w:ascii="AytoRoquetas Light Condensed" w:hAnsi="AytoRoquetas Light Condensed"/>
          <w:i/>
          <w:iCs/>
          <w:sz w:val="20"/>
          <w:szCs w:val="20"/>
        </w:rPr>
        <w:tab/>
        <w:t xml:space="preserve">Hasta 100 m2 </w:t>
      </w:r>
      <w:proofErr w:type="spellStart"/>
      <w:r w:rsidRPr="00E2138D">
        <w:rPr>
          <w:rFonts w:ascii="AytoRoquetas Light Condensed" w:hAnsi="AytoRoquetas Light Condensed"/>
          <w:i/>
          <w:iCs/>
          <w:sz w:val="20"/>
          <w:szCs w:val="20"/>
        </w:rPr>
        <w:t>eq</w:t>
      </w:r>
      <w:proofErr w:type="spellEnd"/>
      <w:r w:rsidRPr="00E2138D">
        <w:rPr>
          <w:rFonts w:ascii="AytoRoquetas Light Condensed" w:hAnsi="AytoRoquetas Light Condensed"/>
          <w:i/>
          <w:iCs/>
          <w:sz w:val="20"/>
          <w:szCs w:val="20"/>
        </w:rPr>
        <w:t>.</w:t>
      </w:r>
    </w:p>
    <w:p w14:paraId="5B6802E4"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Exceso de 100 m2: 0,008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/m2 exceso.</w:t>
      </w:r>
    </w:p>
    <w:p w14:paraId="4043C842" w14:textId="77777777" w:rsidR="00537205" w:rsidRPr="00E2138D" w:rsidRDefault="00537205" w:rsidP="00537205">
      <w:pPr>
        <w:spacing w:after="0" w:line="288" w:lineRule="auto"/>
        <w:ind w:left="567" w:right="56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0366673E" w14:textId="77777777" w:rsidR="00537205" w:rsidRPr="00E2138D" w:rsidRDefault="00537205" w:rsidP="00537205">
      <w:pPr>
        <w:spacing w:after="0" w:line="288" w:lineRule="auto"/>
        <w:ind w:left="567" w:right="56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p>
    <w:p w14:paraId="0A937225" w14:textId="77777777" w:rsidR="00537205" w:rsidRPr="00E2138D" w:rsidRDefault="00537205" w:rsidP="00537205">
      <w:pPr>
        <w:spacing w:after="0" w:line="288" w:lineRule="auto"/>
        <w:ind w:left="567" w:right="56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5.2. La cuota por vertido directo a las EDARS del Consorcio: </w:t>
      </w:r>
    </w:p>
    <w:p w14:paraId="558EA6E5" w14:textId="77777777" w:rsidR="00537205" w:rsidRPr="00E2138D" w:rsidRDefault="00537205" w:rsidP="00537205">
      <w:pPr>
        <w:spacing w:after="0" w:line="288" w:lineRule="auto"/>
        <w:ind w:left="567" w:right="56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CUADRO TARIFA</w:t>
      </w:r>
    </w:p>
    <w:tbl>
      <w:tblPr>
        <w:tblStyle w:val="TableNormal"/>
        <w:tblW w:w="7513" w:type="dxa"/>
        <w:tblInd w:w="556" w:type="dxa"/>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Look w:val="01E0" w:firstRow="1" w:lastRow="1" w:firstColumn="1" w:lastColumn="1" w:noHBand="0" w:noVBand="0"/>
      </w:tblPr>
      <w:tblGrid>
        <w:gridCol w:w="3828"/>
        <w:gridCol w:w="1417"/>
        <w:gridCol w:w="1281"/>
        <w:gridCol w:w="987"/>
      </w:tblGrid>
      <w:tr w:rsidR="00537205" w:rsidRPr="00E2138D" w14:paraId="2E6BDC17" w14:textId="77777777" w:rsidTr="00475DD6">
        <w:trPr>
          <w:trHeight w:hRule="exact" w:val="743"/>
        </w:trPr>
        <w:tc>
          <w:tcPr>
            <w:tcW w:w="3828" w:type="dxa"/>
            <w:tcBorders>
              <w:bottom w:val="single" w:sz="7" w:space="0" w:color="000000"/>
              <w:right w:val="single" w:sz="6" w:space="0" w:color="000000"/>
            </w:tcBorders>
            <w:vAlign w:val="center"/>
          </w:tcPr>
          <w:p w14:paraId="5CA57489" w14:textId="77777777" w:rsidR="00537205" w:rsidRPr="00E2138D" w:rsidRDefault="00537205" w:rsidP="00475DD6">
            <w:pPr>
              <w:spacing w:line="288" w:lineRule="auto"/>
              <w:jc w:val="both"/>
              <w:rPr>
                <w:rFonts w:ascii="AytoRoquetas Light Condensed" w:hAnsi="AytoRoquetas Light Condensed"/>
                <w:i/>
                <w:iCs/>
                <w:sz w:val="20"/>
                <w:szCs w:val="20"/>
                <w:lang w:val="es-ES"/>
              </w:rPr>
            </w:pPr>
          </w:p>
        </w:tc>
        <w:tc>
          <w:tcPr>
            <w:tcW w:w="1417" w:type="dxa"/>
            <w:tcBorders>
              <w:left w:val="single" w:sz="6" w:space="0" w:color="000000"/>
              <w:bottom w:val="single" w:sz="7" w:space="0" w:color="000000"/>
              <w:right w:val="single" w:sz="6" w:space="0" w:color="000000"/>
            </w:tcBorders>
            <w:vAlign w:val="center"/>
          </w:tcPr>
          <w:p w14:paraId="52748156" w14:textId="77777777" w:rsidR="00537205" w:rsidRPr="00E2138D" w:rsidRDefault="00537205" w:rsidP="00475DD6">
            <w:pPr>
              <w:pStyle w:val="TableParagraph"/>
              <w:spacing w:line="288" w:lineRule="auto"/>
              <w:ind w:left="61"/>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IMPORTE CON I.V.</w:t>
            </w:r>
            <w:proofErr w:type="gramStart"/>
            <w:r w:rsidRPr="00E2138D">
              <w:rPr>
                <w:rFonts w:ascii="AytoRoquetas Light Condensed" w:hAnsi="AytoRoquetas Light Condensed"/>
                <w:i/>
                <w:iCs/>
                <w:sz w:val="20"/>
                <w:szCs w:val="20"/>
              </w:rPr>
              <w:t>A</w:t>
            </w:r>
            <w:proofErr w:type="gramEnd"/>
            <w:r w:rsidRPr="00E2138D">
              <w:rPr>
                <w:rFonts w:ascii="AytoRoquetas Light Condensed" w:hAnsi="AytoRoquetas Light Condensed"/>
                <w:i/>
                <w:iCs/>
                <w:sz w:val="20"/>
                <w:szCs w:val="20"/>
              </w:rPr>
              <w:t xml:space="preserve"> AL 8%</w:t>
            </w:r>
          </w:p>
        </w:tc>
        <w:tc>
          <w:tcPr>
            <w:tcW w:w="1281" w:type="dxa"/>
            <w:tcBorders>
              <w:left w:val="single" w:sz="6" w:space="0" w:color="000000"/>
              <w:bottom w:val="single" w:sz="7" w:space="0" w:color="000000"/>
              <w:right w:val="single" w:sz="6" w:space="0" w:color="000000"/>
            </w:tcBorders>
            <w:vAlign w:val="center"/>
          </w:tcPr>
          <w:p w14:paraId="5A92AAB7" w14:textId="77777777" w:rsidR="00537205" w:rsidRPr="00E2138D" w:rsidRDefault="00537205" w:rsidP="00475DD6">
            <w:pPr>
              <w:spacing w:line="288" w:lineRule="auto"/>
              <w:jc w:val="center"/>
              <w:rPr>
                <w:rFonts w:ascii="AytoRoquetas Light Condensed" w:hAnsi="AytoRoquetas Light Condensed"/>
                <w:i/>
                <w:iCs/>
                <w:sz w:val="20"/>
                <w:szCs w:val="20"/>
                <w:lang w:val="es-ES"/>
              </w:rPr>
            </w:pPr>
          </w:p>
        </w:tc>
        <w:tc>
          <w:tcPr>
            <w:tcW w:w="987" w:type="dxa"/>
            <w:tcBorders>
              <w:left w:val="single" w:sz="6" w:space="0" w:color="000000"/>
              <w:bottom w:val="single" w:sz="7" w:space="0" w:color="000000"/>
              <w:right w:val="single" w:sz="6" w:space="0" w:color="000000"/>
            </w:tcBorders>
            <w:vAlign w:val="center"/>
          </w:tcPr>
          <w:p w14:paraId="47AC0C97" w14:textId="77777777" w:rsidR="00537205" w:rsidRPr="00E2138D" w:rsidRDefault="00537205" w:rsidP="00475DD6">
            <w:pPr>
              <w:spacing w:line="288" w:lineRule="auto"/>
              <w:jc w:val="center"/>
              <w:rPr>
                <w:rFonts w:ascii="AytoRoquetas Light Condensed" w:hAnsi="AytoRoquetas Light Condensed"/>
                <w:i/>
                <w:iCs/>
                <w:sz w:val="20"/>
                <w:szCs w:val="20"/>
                <w:lang w:val="es-ES"/>
              </w:rPr>
            </w:pPr>
          </w:p>
        </w:tc>
      </w:tr>
      <w:tr w:rsidR="00537205" w:rsidRPr="00E2138D" w14:paraId="72E1AAF2" w14:textId="77777777" w:rsidTr="00475DD6">
        <w:trPr>
          <w:trHeight w:hRule="exact" w:val="844"/>
        </w:trPr>
        <w:tc>
          <w:tcPr>
            <w:tcW w:w="3828" w:type="dxa"/>
            <w:tcBorders>
              <w:top w:val="single" w:sz="7" w:space="0" w:color="000000"/>
              <w:bottom w:val="single" w:sz="7" w:space="0" w:color="000000"/>
              <w:right w:val="single" w:sz="6" w:space="0" w:color="000000"/>
            </w:tcBorders>
            <w:vAlign w:val="center"/>
          </w:tcPr>
          <w:p w14:paraId="7AE73305" w14:textId="77777777" w:rsidR="00537205" w:rsidRPr="00E2138D" w:rsidRDefault="00537205" w:rsidP="00475DD6">
            <w:pPr>
              <w:pStyle w:val="TableParagraph"/>
              <w:spacing w:line="288" w:lineRule="auto"/>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a) </w:t>
            </w:r>
            <w:proofErr w:type="spellStart"/>
            <w:r w:rsidRPr="00E2138D">
              <w:rPr>
                <w:rFonts w:ascii="AytoRoquetas Light Condensed" w:hAnsi="AytoRoquetas Light Condensed"/>
                <w:i/>
                <w:iCs/>
                <w:sz w:val="20"/>
                <w:szCs w:val="20"/>
              </w:rPr>
              <w:t>Vertidos</w:t>
            </w:r>
            <w:proofErr w:type="spellEnd"/>
            <w:r w:rsidRPr="00E2138D">
              <w:rPr>
                <w:rFonts w:ascii="AytoRoquetas Light Condensed" w:hAnsi="AytoRoquetas Light Condensed"/>
                <w:i/>
                <w:iCs/>
                <w:sz w:val="20"/>
                <w:szCs w:val="20"/>
              </w:rPr>
              <w:t xml:space="preserve"> con carga </w:t>
            </w:r>
            <w:proofErr w:type="spellStart"/>
            <w:r w:rsidRPr="00E2138D">
              <w:rPr>
                <w:rFonts w:ascii="AytoRoquetas Light Condensed" w:hAnsi="AytoRoquetas Light Condensed"/>
                <w:i/>
                <w:iCs/>
                <w:sz w:val="20"/>
                <w:szCs w:val="20"/>
              </w:rPr>
              <w:t>contaminante</w:t>
            </w:r>
            <w:proofErr w:type="spellEnd"/>
            <w:r w:rsidRPr="00E2138D">
              <w:rPr>
                <w:rFonts w:ascii="AytoRoquetas Light Condensed" w:hAnsi="AytoRoquetas Light Condensed"/>
                <w:i/>
                <w:iCs/>
                <w:sz w:val="20"/>
                <w:szCs w:val="20"/>
              </w:rPr>
              <w:t xml:space="preserve"> Baja </w:t>
            </w:r>
            <w:proofErr w:type="gramStart"/>
            <w:r w:rsidRPr="00E2138D">
              <w:rPr>
                <w:rFonts w:ascii="AytoRoquetas Light Condensed" w:hAnsi="AytoRoquetas Light Condensed"/>
                <w:i/>
                <w:iCs/>
                <w:sz w:val="20"/>
                <w:szCs w:val="20"/>
              </w:rPr>
              <w:t>( DQC</w:t>
            </w:r>
            <w:proofErr w:type="gramEnd"/>
            <w:r w:rsidRPr="00E2138D">
              <w:rPr>
                <w:rFonts w:ascii="AytoRoquetas Light Condensed" w:hAnsi="AytoRoquetas Light Condensed"/>
                <w:i/>
                <w:iCs/>
                <w:sz w:val="20"/>
                <w:szCs w:val="20"/>
              </w:rPr>
              <w:t xml:space="preserve"> &lt;=2500)</w:t>
            </w:r>
          </w:p>
        </w:tc>
        <w:tc>
          <w:tcPr>
            <w:tcW w:w="1417" w:type="dxa"/>
            <w:tcBorders>
              <w:top w:val="single" w:sz="7" w:space="0" w:color="000000"/>
              <w:left w:val="single" w:sz="6" w:space="0" w:color="000000"/>
              <w:bottom w:val="single" w:sz="7" w:space="0" w:color="000000"/>
              <w:right w:val="single" w:sz="6" w:space="0" w:color="000000"/>
            </w:tcBorders>
            <w:vAlign w:val="center"/>
          </w:tcPr>
          <w:p w14:paraId="129D50C3" w14:textId="77777777" w:rsidR="00537205" w:rsidRPr="00E2138D" w:rsidRDefault="00537205" w:rsidP="00475DD6">
            <w:pPr>
              <w:pStyle w:val="TableParagraph"/>
              <w:spacing w:line="288" w:lineRule="auto"/>
              <w:ind w:left="61"/>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6,98</w:t>
            </w:r>
          </w:p>
        </w:tc>
        <w:tc>
          <w:tcPr>
            <w:tcW w:w="1281" w:type="dxa"/>
            <w:tcBorders>
              <w:top w:val="single" w:sz="7" w:space="0" w:color="000000"/>
              <w:left w:val="single" w:sz="6" w:space="0" w:color="000000"/>
              <w:bottom w:val="single" w:sz="7" w:space="0" w:color="000000"/>
              <w:right w:val="single" w:sz="6" w:space="0" w:color="000000"/>
            </w:tcBorders>
            <w:vAlign w:val="center"/>
          </w:tcPr>
          <w:p w14:paraId="38300BC0"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7,54</w:t>
            </w:r>
          </w:p>
        </w:tc>
        <w:tc>
          <w:tcPr>
            <w:tcW w:w="987" w:type="dxa"/>
            <w:tcBorders>
              <w:top w:val="single" w:sz="7" w:space="0" w:color="000000"/>
              <w:left w:val="single" w:sz="6" w:space="0" w:color="000000"/>
              <w:bottom w:val="single" w:sz="7" w:space="0" w:color="000000"/>
              <w:right w:val="single" w:sz="6" w:space="0" w:color="000000"/>
            </w:tcBorders>
            <w:vAlign w:val="center"/>
          </w:tcPr>
          <w:p w14:paraId="263FA675"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Euros/m3</w:t>
            </w:r>
          </w:p>
        </w:tc>
      </w:tr>
      <w:tr w:rsidR="00537205" w:rsidRPr="00E2138D" w14:paraId="5378656E" w14:textId="77777777" w:rsidTr="00475DD6">
        <w:trPr>
          <w:trHeight w:hRule="exact" w:val="1280"/>
        </w:trPr>
        <w:tc>
          <w:tcPr>
            <w:tcW w:w="3828" w:type="dxa"/>
            <w:tcBorders>
              <w:top w:val="single" w:sz="7" w:space="0" w:color="000000"/>
              <w:bottom w:val="single" w:sz="7" w:space="0" w:color="000000"/>
              <w:right w:val="single" w:sz="6" w:space="0" w:color="000000"/>
            </w:tcBorders>
            <w:vAlign w:val="center"/>
          </w:tcPr>
          <w:p w14:paraId="5667FAF3" w14:textId="77777777" w:rsidR="00537205" w:rsidRPr="00E2138D" w:rsidRDefault="00537205" w:rsidP="00475DD6">
            <w:pPr>
              <w:pStyle w:val="TableParagraph"/>
              <w:spacing w:line="288" w:lineRule="auto"/>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b) </w:t>
            </w:r>
            <w:proofErr w:type="spellStart"/>
            <w:r w:rsidRPr="00E2138D">
              <w:rPr>
                <w:rFonts w:ascii="AytoRoquetas Light Condensed" w:hAnsi="AytoRoquetas Light Condensed"/>
                <w:i/>
                <w:iCs/>
                <w:sz w:val="20"/>
                <w:szCs w:val="20"/>
              </w:rPr>
              <w:t>Vertidos</w:t>
            </w:r>
            <w:proofErr w:type="spellEnd"/>
            <w:r w:rsidRPr="00E2138D">
              <w:rPr>
                <w:rFonts w:ascii="AytoRoquetas Light Condensed" w:hAnsi="AytoRoquetas Light Condensed"/>
                <w:i/>
                <w:iCs/>
                <w:sz w:val="20"/>
                <w:szCs w:val="20"/>
              </w:rPr>
              <w:t xml:space="preserve"> con carga </w:t>
            </w:r>
            <w:proofErr w:type="spellStart"/>
            <w:r w:rsidRPr="00E2138D">
              <w:rPr>
                <w:rFonts w:ascii="AytoRoquetas Light Condensed" w:hAnsi="AytoRoquetas Light Condensed"/>
                <w:i/>
                <w:iCs/>
                <w:sz w:val="20"/>
                <w:szCs w:val="20"/>
              </w:rPr>
              <w:t>contaminante</w:t>
            </w:r>
            <w:proofErr w:type="spellEnd"/>
            <w:r w:rsidRPr="00E2138D">
              <w:rPr>
                <w:rFonts w:ascii="AytoRoquetas Light Condensed" w:hAnsi="AytoRoquetas Light Condensed"/>
                <w:i/>
                <w:iCs/>
                <w:sz w:val="20"/>
                <w:szCs w:val="20"/>
              </w:rPr>
              <w:t xml:space="preserve"> Media (Aguas </w:t>
            </w:r>
            <w:proofErr w:type="spellStart"/>
            <w:r w:rsidRPr="00E2138D">
              <w:rPr>
                <w:rFonts w:ascii="AytoRoquetas Light Condensed" w:hAnsi="AytoRoquetas Light Condensed"/>
                <w:i/>
                <w:iCs/>
                <w:sz w:val="20"/>
                <w:szCs w:val="20"/>
              </w:rPr>
              <w:t>residuales</w:t>
            </w:r>
            <w:proofErr w:type="spellEnd"/>
            <w:r w:rsidRPr="00E2138D">
              <w:rPr>
                <w:rFonts w:ascii="AytoRoquetas Light Condensed" w:hAnsi="AytoRoquetas Light Condensed"/>
                <w:i/>
                <w:iCs/>
                <w:sz w:val="20"/>
                <w:szCs w:val="20"/>
              </w:rPr>
              <w:t xml:space="preserve"> </w:t>
            </w:r>
            <w:proofErr w:type="spellStart"/>
            <w:r w:rsidRPr="00E2138D">
              <w:rPr>
                <w:rFonts w:ascii="AytoRoquetas Light Condensed" w:hAnsi="AytoRoquetas Light Condensed"/>
                <w:i/>
                <w:iCs/>
                <w:sz w:val="20"/>
                <w:szCs w:val="20"/>
              </w:rPr>
              <w:t>Concentradas</w:t>
            </w:r>
            <w:proofErr w:type="spellEnd"/>
            <w:r w:rsidRPr="00E2138D">
              <w:rPr>
                <w:rFonts w:ascii="AytoRoquetas Light Condensed" w:hAnsi="AytoRoquetas Light Condensed"/>
                <w:i/>
                <w:iCs/>
                <w:sz w:val="20"/>
                <w:szCs w:val="20"/>
              </w:rPr>
              <w:t xml:space="preserve">) </w:t>
            </w:r>
            <w:proofErr w:type="gramStart"/>
            <w:r w:rsidRPr="00E2138D">
              <w:rPr>
                <w:rFonts w:ascii="AytoRoquetas Light Condensed" w:hAnsi="AytoRoquetas Light Condensed"/>
                <w:i/>
                <w:iCs/>
                <w:sz w:val="20"/>
                <w:szCs w:val="20"/>
              </w:rPr>
              <w:t>( 2500</w:t>
            </w:r>
            <w:proofErr w:type="gramEnd"/>
            <w:r w:rsidRPr="00E2138D">
              <w:rPr>
                <w:rFonts w:ascii="AytoRoquetas Light Condensed" w:hAnsi="AytoRoquetas Light Condensed"/>
                <w:i/>
                <w:iCs/>
                <w:sz w:val="20"/>
                <w:szCs w:val="20"/>
              </w:rPr>
              <w:t>&lt; DQC &lt;=5000)</w:t>
            </w:r>
          </w:p>
        </w:tc>
        <w:tc>
          <w:tcPr>
            <w:tcW w:w="1417" w:type="dxa"/>
            <w:tcBorders>
              <w:top w:val="single" w:sz="7" w:space="0" w:color="000000"/>
              <w:left w:val="single" w:sz="6" w:space="0" w:color="000000"/>
              <w:bottom w:val="single" w:sz="7" w:space="0" w:color="000000"/>
              <w:right w:val="single" w:sz="6" w:space="0" w:color="000000"/>
            </w:tcBorders>
            <w:vAlign w:val="center"/>
          </w:tcPr>
          <w:p w14:paraId="6E1331FD" w14:textId="77777777" w:rsidR="00537205" w:rsidRPr="00E2138D" w:rsidRDefault="00537205" w:rsidP="00475DD6">
            <w:pPr>
              <w:pStyle w:val="TableParagraph"/>
              <w:spacing w:line="288" w:lineRule="auto"/>
              <w:ind w:left="61"/>
              <w:jc w:val="center"/>
              <w:rPr>
                <w:rFonts w:ascii="AytoRoquetas Light Condensed" w:hAnsi="AytoRoquetas Light Condensed"/>
                <w:i/>
                <w:iCs/>
                <w:sz w:val="20"/>
                <w:szCs w:val="20"/>
              </w:rPr>
            </w:pPr>
            <w:r w:rsidRPr="00E2138D">
              <w:rPr>
                <w:rFonts w:ascii="AytoRoquetas Light Condensed" w:hAnsi="AytoRoquetas Light Condensed"/>
                <w:i/>
                <w:iCs/>
                <w:w w:val="95"/>
                <w:sz w:val="20"/>
                <w:szCs w:val="20"/>
              </w:rPr>
              <w:t>8,50</w:t>
            </w:r>
          </w:p>
        </w:tc>
        <w:tc>
          <w:tcPr>
            <w:tcW w:w="1281" w:type="dxa"/>
            <w:tcBorders>
              <w:top w:val="single" w:sz="7" w:space="0" w:color="000000"/>
              <w:left w:val="single" w:sz="6" w:space="0" w:color="000000"/>
              <w:bottom w:val="single" w:sz="7" w:space="0" w:color="000000"/>
              <w:right w:val="single" w:sz="6" w:space="0" w:color="000000"/>
            </w:tcBorders>
            <w:vAlign w:val="center"/>
          </w:tcPr>
          <w:p w14:paraId="71719E75"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9,18</w:t>
            </w:r>
          </w:p>
        </w:tc>
        <w:tc>
          <w:tcPr>
            <w:tcW w:w="987" w:type="dxa"/>
            <w:tcBorders>
              <w:top w:val="single" w:sz="7" w:space="0" w:color="000000"/>
              <w:left w:val="single" w:sz="6" w:space="0" w:color="000000"/>
              <w:bottom w:val="single" w:sz="7" w:space="0" w:color="000000"/>
              <w:right w:val="single" w:sz="6" w:space="0" w:color="000000"/>
            </w:tcBorders>
            <w:vAlign w:val="center"/>
          </w:tcPr>
          <w:p w14:paraId="2ED8EFE8"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Euros/m3</w:t>
            </w:r>
          </w:p>
        </w:tc>
      </w:tr>
      <w:tr w:rsidR="00537205" w:rsidRPr="00E2138D" w14:paraId="3AB0AD4D" w14:textId="77777777" w:rsidTr="00475DD6">
        <w:trPr>
          <w:trHeight w:hRule="exact" w:val="1097"/>
        </w:trPr>
        <w:tc>
          <w:tcPr>
            <w:tcW w:w="3828" w:type="dxa"/>
            <w:tcBorders>
              <w:top w:val="single" w:sz="7" w:space="0" w:color="000000"/>
              <w:bottom w:val="single" w:sz="7" w:space="0" w:color="000000"/>
              <w:right w:val="single" w:sz="6" w:space="0" w:color="000000"/>
            </w:tcBorders>
            <w:vAlign w:val="center"/>
          </w:tcPr>
          <w:p w14:paraId="4CD8181C" w14:textId="77777777" w:rsidR="00537205" w:rsidRPr="00E2138D" w:rsidRDefault="00537205" w:rsidP="00475DD6">
            <w:pPr>
              <w:pStyle w:val="TableParagraph"/>
              <w:spacing w:line="288" w:lineRule="auto"/>
              <w:ind w:right="98"/>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a) </w:t>
            </w:r>
            <w:proofErr w:type="spellStart"/>
            <w:r w:rsidRPr="00E2138D">
              <w:rPr>
                <w:rFonts w:ascii="AytoRoquetas Light Condensed" w:hAnsi="AytoRoquetas Light Condensed"/>
                <w:i/>
                <w:iCs/>
                <w:sz w:val="20"/>
                <w:szCs w:val="20"/>
              </w:rPr>
              <w:t>Vertidos</w:t>
            </w:r>
            <w:proofErr w:type="spellEnd"/>
            <w:r w:rsidRPr="00E2138D">
              <w:rPr>
                <w:rFonts w:ascii="AytoRoquetas Light Condensed" w:hAnsi="AytoRoquetas Light Condensed"/>
                <w:i/>
                <w:iCs/>
                <w:sz w:val="20"/>
                <w:szCs w:val="20"/>
              </w:rPr>
              <w:t xml:space="preserve"> con carga </w:t>
            </w:r>
            <w:proofErr w:type="spellStart"/>
            <w:r w:rsidRPr="00E2138D">
              <w:rPr>
                <w:rFonts w:ascii="AytoRoquetas Light Condensed" w:hAnsi="AytoRoquetas Light Condensed"/>
                <w:i/>
                <w:iCs/>
                <w:sz w:val="20"/>
                <w:szCs w:val="20"/>
              </w:rPr>
              <w:t>contaminante</w:t>
            </w:r>
            <w:proofErr w:type="spellEnd"/>
            <w:r w:rsidRPr="00E2138D">
              <w:rPr>
                <w:rFonts w:ascii="AytoRoquetas Light Condensed" w:hAnsi="AytoRoquetas Light Condensed"/>
                <w:i/>
                <w:iCs/>
                <w:sz w:val="20"/>
                <w:szCs w:val="20"/>
              </w:rPr>
              <w:t xml:space="preserve"> Alta (</w:t>
            </w:r>
            <w:proofErr w:type="spellStart"/>
            <w:r w:rsidRPr="00E2138D">
              <w:rPr>
                <w:rFonts w:ascii="AytoRoquetas Light Condensed" w:hAnsi="AytoRoquetas Light Condensed"/>
                <w:i/>
                <w:iCs/>
                <w:sz w:val="20"/>
                <w:szCs w:val="20"/>
              </w:rPr>
              <w:t>Residuos</w:t>
            </w:r>
            <w:proofErr w:type="spellEnd"/>
            <w:r w:rsidRPr="00E2138D">
              <w:rPr>
                <w:rFonts w:ascii="AytoRoquetas Light Condensed" w:hAnsi="AytoRoquetas Light Condensed"/>
                <w:i/>
                <w:iCs/>
                <w:sz w:val="20"/>
                <w:szCs w:val="20"/>
              </w:rPr>
              <w:t xml:space="preserve"> </w:t>
            </w:r>
            <w:proofErr w:type="spellStart"/>
            <w:r w:rsidRPr="00E2138D">
              <w:rPr>
                <w:rFonts w:ascii="AytoRoquetas Light Condensed" w:hAnsi="AytoRoquetas Light Condensed"/>
                <w:i/>
                <w:iCs/>
                <w:sz w:val="20"/>
                <w:szCs w:val="20"/>
              </w:rPr>
              <w:t>Industriales</w:t>
            </w:r>
            <w:proofErr w:type="spellEnd"/>
            <w:r w:rsidRPr="00E2138D">
              <w:rPr>
                <w:rFonts w:ascii="AytoRoquetas Light Condensed" w:hAnsi="AytoRoquetas Light Condensed"/>
                <w:i/>
                <w:iCs/>
                <w:sz w:val="20"/>
                <w:szCs w:val="20"/>
              </w:rPr>
              <w:t xml:space="preserve"> No </w:t>
            </w:r>
            <w:proofErr w:type="spellStart"/>
            <w:r w:rsidRPr="00E2138D">
              <w:rPr>
                <w:rFonts w:ascii="AytoRoquetas Light Condensed" w:hAnsi="AytoRoquetas Light Condensed"/>
                <w:i/>
                <w:iCs/>
                <w:sz w:val="20"/>
                <w:szCs w:val="20"/>
              </w:rPr>
              <w:t>Peligrosos</w:t>
            </w:r>
            <w:proofErr w:type="spellEnd"/>
            <w:r w:rsidRPr="00E2138D">
              <w:rPr>
                <w:rFonts w:ascii="AytoRoquetas Light Condensed" w:hAnsi="AytoRoquetas Light Condensed"/>
                <w:i/>
                <w:iCs/>
                <w:sz w:val="20"/>
                <w:szCs w:val="20"/>
              </w:rPr>
              <w:t xml:space="preserve">) </w:t>
            </w:r>
            <w:proofErr w:type="gramStart"/>
            <w:r w:rsidRPr="00E2138D">
              <w:rPr>
                <w:rFonts w:ascii="AytoRoquetas Light Condensed" w:hAnsi="AytoRoquetas Light Condensed"/>
                <w:i/>
                <w:iCs/>
                <w:sz w:val="20"/>
                <w:szCs w:val="20"/>
              </w:rPr>
              <w:t>( 2500</w:t>
            </w:r>
            <w:proofErr w:type="gramEnd"/>
            <w:r w:rsidRPr="00E2138D">
              <w:rPr>
                <w:rFonts w:ascii="AytoRoquetas Light Condensed" w:hAnsi="AytoRoquetas Light Condensed"/>
                <w:i/>
                <w:iCs/>
                <w:sz w:val="20"/>
                <w:szCs w:val="20"/>
              </w:rPr>
              <w:t>&lt; DQC &lt;=5000)</w:t>
            </w:r>
          </w:p>
        </w:tc>
        <w:tc>
          <w:tcPr>
            <w:tcW w:w="1417" w:type="dxa"/>
            <w:tcBorders>
              <w:top w:val="single" w:sz="7" w:space="0" w:color="000000"/>
              <w:left w:val="single" w:sz="6" w:space="0" w:color="000000"/>
              <w:bottom w:val="single" w:sz="7" w:space="0" w:color="000000"/>
              <w:right w:val="single" w:sz="6" w:space="0" w:color="000000"/>
            </w:tcBorders>
            <w:vAlign w:val="center"/>
          </w:tcPr>
          <w:p w14:paraId="1921BA46" w14:textId="77777777" w:rsidR="00537205" w:rsidRPr="00E2138D" w:rsidRDefault="00537205" w:rsidP="00475DD6">
            <w:pPr>
              <w:pStyle w:val="TableParagraph"/>
              <w:spacing w:line="288" w:lineRule="auto"/>
              <w:ind w:left="61"/>
              <w:jc w:val="center"/>
              <w:rPr>
                <w:rFonts w:ascii="AytoRoquetas Light Condensed" w:hAnsi="AytoRoquetas Light Condensed"/>
                <w:i/>
                <w:iCs/>
                <w:sz w:val="20"/>
                <w:szCs w:val="20"/>
              </w:rPr>
            </w:pPr>
            <w:r w:rsidRPr="00E2138D">
              <w:rPr>
                <w:rFonts w:ascii="AytoRoquetas Light Condensed" w:hAnsi="AytoRoquetas Light Condensed"/>
                <w:i/>
                <w:iCs/>
                <w:w w:val="95"/>
                <w:sz w:val="20"/>
                <w:szCs w:val="20"/>
              </w:rPr>
              <w:t>24,79</w:t>
            </w:r>
          </w:p>
        </w:tc>
        <w:tc>
          <w:tcPr>
            <w:tcW w:w="1281" w:type="dxa"/>
            <w:tcBorders>
              <w:top w:val="single" w:sz="7" w:space="0" w:color="000000"/>
              <w:left w:val="single" w:sz="6" w:space="0" w:color="000000"/>
              <w:bottom w:val="single" w:sz="7" w:space="0" w:color="000000"/>
              <w:right w:val="single" w:sz="6" w:space="0" w:color="000000"/>
            </w:tcBorders>
            <w:vAlign w:val="center"/>
          </w:tcPr>
          <w:p w14:paraId="3DF3C993"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26,77</w:t>
            </w:r>
          </w:p>
        </w:tc>
        <w:tc>
          <w:tcPr>
            <w:tcW w:w="987" w:type="dxa"/>
            <w:tcBorders>
              <w:top w:val="single" w:sz="7" w:space="0" w:color="000000"/>
              <w:left w:val="single" w:sz="6" w:space="0" w:color="000000"/>
              <w:bottom w:val="single" w:sz="7" w:space="0" w:color="000000"/>
              <w:right w:val="single" w:sz="6" w:space="0" w:color="000000"/>
            </w:tcBorders>
            <w:vAlign w:val="center"/>
          </w:tcPr>
          <w:p w14:paraId="4C88E471"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Euros/m3</w:t>
            </w:r>
          </w:p>
        </w:tc>
      </w:tr>
    </w:tbl>
    <w:p w14:paraId="26F52C2E" w14:textId="77777777" w:rsidR="00537205" w:rsidRPr="00E2138D" w:rsidRDefault="00537205" w:rsidP="00537205">
      <w:pPr>
        <w:pStyle w:val="Prrafodelista"/>
        <w:widowControl w:val="0"/>
        <w:tabs>
          <w:tab w:val="left" w:pos="2069"/>
        </w:tabs>
        <w:autoSpaceDE w:val="0"/>
        <w:autoSpaceDN w:val="0"/>
        <w:spacing w:after="0" w:line="288" w:lineRule="auto"/>
        <w:ind w:left="567" w:right="347"/>
        <w:contextualSpacing w:val="0"/>
        <w:rPr>
          <w:rFonts w:ascii="AytoRoquetas Light Condensed" w:hAnsi="AytoRoquetas Light Condensed"/>
          <w:i/>
          <w:iCs/>
          <w:sz w:val="20"/>
          <w:szCs w:val="20"/>
        </w:rPr>
      </w:pPr>
    </w:p>
    <w:p w14:paraId="26ACA5F2" w14:textId="77777777" w:rsidR="00537205" w:rsidRPr="00E2138D" w:rsidRDefault="00537205" w:rsidP="00537205">
      <w:pPr>
        <w:pStyle w:val="Prrafodelista"/>
        <w:widowControl w:val="0"/>
        <w:tabs>
          <w:tab w:val="left" w:pos="2069"/>
        </w:tabs>
        <w:autoSpaceDE w:val="0"/>
        <w:autoSpaceDN w:val="0"/>
        <w:spacing w:after="0" w:line="288" w:lineRule="auto"/>
        <w:ind w:left="567" w:right="347"/>
        <w:contextualSpacing w:val="0"/>
        <w:rPr>
          <w:rFonts w:ascii="AytoRoquetas Light Condensed" w:hAnsi="AytoRoquetas Light Condensed"/>
          <w:i/>
          <w:iCs/>
          <w:sz w:val="20"/>
          <w:szCs w:val="20"/>
        </w:rPr>
      </w:pPr>
      <w:r w:rsidRPr="00E2138D">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E2138D">
        <w:rPr>
          <w:rFonts w:ascii="AytoRoquetas Light Condensed" w:hAnsi="AytoRoquetas Light Condensed"/>
          <w:i/>
          <w:iCs/>
          <w:spacing w:val="29"/>
          <w:sz w:val="20"/>
          <w:szCs w:val="20"/>
        </w:rPr>
        <w:t xml:space="preserve"> </w:t>
      </w:r>
      <w:r w:rsidRPr="00E2138D">
        <w:rPr>
          <w:rFonts w:ascii="AytoRoquetas Light Condensed" w:hAnsi="AytoRoquetas Light Condensed"/>
          <w:i/>
          <w:iCs/>
          <w:sz w:val="20"/>
          <w:szCs w:val="20"/>
        </w:rPr>
        <w:t>siguiente:</w:t>
      </w:r>
    </w:p>
    <w:p w14:paraId="48670875" w14:textId="77777777" w:rsidR="00537205" w:rsidRPr="00E2138D" w:rsidRDefault="00537205" w:rsidP="00537205">
      <w:pPr>
        <w:pStyle w:val="Textoindependiente"/>
        <w:spacing w:line="288" w:lineRule="auto"/>
        <w:ind w:left="567"/>
        <w:rPr>
          <w:rFonts w:ascii="AytoRoquetas Light Condensed" w:hAnsi="AytoRoquetas Light Condensed"/>
          <w:i/>
          <w:iCs/>
          <w:sz w:val="20"/>
        </w:rPr>
      </w:pPr>
    </w:p>
    <w:p w14:paraId="33BC5EA6" w14:textId="77777777" w:rsidR="00537205" w:rsidRPr="00E2138D" w:rsidRDefault="00537205" w:rsidP="00537205">
      <w:pPr>
        <w:pStyle w:val="Textoindependiente"/>
        <w:spacing w:line="288" w:lineRule="auto"/>
        <w:ind w:left="567"/>
        <w:rPr>
          <w:rFonts w:ascii="AytoRoquetas Light Condensed" w:hAnsi="AytoRoquetas Light Condensed"/>
          <w:b w:val="0"/>
          <w:bCs/>
          <w:i/>
          <w:iCs/>
          <w:sz w:val="20"/>
        </w:rPr>
      </w:pPr>
      <w:r w:rsidRPr="00E2138D">
        <w:rPr>
          <w:rFonts w:ascii="AytoRoquetas Light Condensed" w:hAnsi="AytoRoquetas Light Condensed"/>
          <w:b w:val="0"/>
          <w:bCs/>
          <w:i/>
          <w:iCs/>
          <w:sz w:val="20"/>
        </w:rPr>
        <w:t>CUADRO TARIFA</w:t>
      </w:r>
    </w:p>
    <w:tbl>
      <w:tblPr>
        <w:tblStyle w:val="Tablaconcuadrcula"/>
        <w:tblW w:w="0" w:type="auto"/>
        <w:tblInd w:w="562" w:type="dxa"/>
        <w:tblLook w:val="04A0" w:firstRow="1" w:lastRow="0" w:firstColumn="1" w:lastColumn="0" w:noHBand="0" w:noVBand="1"/>
      </w:tblPr>
      <w:tblGrid>
        <w:gridCol w:w="3119"/>
        <w:gridCol w:w="2551"/>
        <w:gridCol w:w="1985"/>
      </w:tblGrid>
      <w:tr w:rsidR="00537205" w:rsidRPr="00E2138D" w14:paraId="5A3A658A" w14:textId="77777777" w:rsidTr="00475DD6">
        <w:tc>
          <w:tcPr>
            <w:tcW w:w="3119" w:type="dxa"/>
          </w:tcPr>
          <w:p w14:paraId="5C87E098" w14:textId="77777777" w:rsidR="00537205" w:rsidRPr="00E2138D" w:rsidRDefault="00537205" w:rsidP="00475DD6">
            <w:pPr>
              <w:spacing w:line="288" w:lineRule="auto"/>
              <w:jc w:val="both"/>
              <w:rPr>
                <w:rFonts w:ascii="AytoRoquetas Light Condensed" w:hAnsi="AytoRoquetas Light Condensed"/>
                <w:i/>
                <w:iCs/>
              </w:rPr>
            </w:pPr>
          </w:p>
        </w:tc>
        <w:tc>
          <w:tcPr>
            <w:tcW w:w="2551" w:type="dxa"/>
          </w:tcPr>
          <w:p w14:paraId="63BFFC56"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IMPORTE SIN IVA</w:t>
            </w:r>
          </w:p>
        </w:tc>
        <w:tc>
          <w:tcPr>
            <w:tcW w:w="1985" w:type="dxa"/>
          </w:tcPr>
          <w:p w14:paraId="57405644" w14:textId="77777777" w:rsidR="00537205" w:rsidRPr="00E2138D" w:rsidRDefault="00537205" w:rsidP="00475DD6">
            <w:pPr>
              <w:spacing w:line="288" w:lineRule="auto"/>
              <w:jc w:val="both"/>
              <w:rPr>
                <w:rFonts w:ascii="AytoRoquetas Light Condensed" w:hAnsi="AytoRoquetas Light Condensed"/>
                <w:i/>
                <w:iCs/>
              </w:rPr>
            </w:pPr>
          </w:p>
        </w:tc>
      </w:tr>
      <w:tr w:rsidR="00537205" w:rsidRPr="00E2138D" w14:paraId="211F08FB" w14:textId="77777777" w:rsidTr="00475DD6">
        <w:tc>
          <w:tcPr>
            <w:tcW w:w="3119" w:type="dxa"/>
          </w:tcPr>
          <w:p w14:paraId="0D563C1F" w14:textId="77777777" w:rsidR="00537205" w:rsidRPr="00E2138D" w:rsidRDefault="00537205" w:rsidP="00537205">
            <w:pPr>
              <w:pStyle w:val="Prrafodelista"/>
              <w:numPr>
                <w:ilvl w:val="0"/>
                <w:numId w:val="7"/>
              </w:numPr>
              <w:spacing w:before="0" w:after="0" w:line="288" w:lineRule="auto"/>
              <w:rPr>
                <w:rFonts w:ascii="AytoRoquetas Light Condensed" w:hAnsi="AytoRoquetas Light Condensed"/>
                <w:i/>
                <w:iCs/>
              </w:rPr>
            </w:pPr>
            <w:r w:rsidRPr="00E2138D">
              <w:rPr>
                <w:rFonts w:ascii="AytoRoquetas Light Condensed" w:hAnsi="AytoRoquetas Light Condensed"/>
                <w:i/>
                <w:iCs/>
              </w:rPr>
              <w:t>PARTE FIJA PRODUCCIÓN TERCIARIO</w:t>
            </w:r>
          </w:p>
        </w:tc>
        <w:tc>
          <w:tcPr>
            <w:tcW w:w="2551" w:type="dxa"/>
            <w:vAlign w:val="center"/>
          </w:tcPr>
          <w:p w14:paraId="404D34B3"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0</w:t>
            </w:r>
          </w:p>
        </w:tc>
        <w:tc>
          <w:tcPr>
            <w:tcW w:w="1985" w:type="dxa"/>
            <w:vAlign w:val="center"/>
          </w:tcPr>
          <w:p w14:paraId="6CEB7CC8"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Euros/cliente/trimestre</w:t>
            </w:r>
          </w:p>
        </w:tc>
      </w:tr>
      <w:tr w:rsidR="00537205" w:rsidRPr="00E2138D" w14:paraId="4242B002" w14:textId="77777777" w:rsidTr="00475DD6">
        <w:tc>
          <w:tcPr>
            <w:tcW w:w="3119" w:type="dxa"/>
          </w:tcPr>
          <w:p w14:paraId="3EA856A2" w14:textId="77777777" w:rsidR="00537205" w:rsidRPr="00E2138D" w:rsidRDefault="00537205" w:rsidP="00537205">
            <w:pPr>
              <w:pStyle w:val="Prrafodelista"/>
              <w:numPr>
                <w:ilvl w:val="0"/>
                <w:numId w:val="7"/>
              </w:numPr>
              <w:spacing w:before="0" w:after="0" w:line="288" w:lineRule="auto"/>
              <w:rPr>
                <w:rFonts w:ascii="AytoRoquetas Light Condensed" w:hAnsi="AytoRoquetas Light Condensed"/>
                <w:i/>
                <w:iCs/>
              </w:rPr>
            </w:pPr>
            <w:r w:rsidRPr="00E2138D">
              <w:rPr>
                <w:rFonts w:ascii="AytoRoquetas Light Condensed" w:hAnsi="AytoRoquetas Light Condensed"/>
                <w:i/>
                <w:iCs/>
              </w:rPr>
              <w:t>PARTE VARIABLE PRODUCCIÓN TERCIARIO</w:t>
            </w:r>
          </w:p>
        </w:tc>
        <w:tc>
          <w:tcPr>
            <w:tcW w:w="2551" w:type="dxa"/>
            <w:vAlign w:val="center"/>
          </w:tcPr>
          <w:p w14:paraId="5B104956"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0.1656</w:t>
            </w:r>
          </w:p>
        </w:tc>
        <w:tc>
          <w:tcPr>
            <w:tcW w:w="1985" w:type="dxa"/>
            <w:vAlign w:val="center"/>
          </w:tcPr>
          <w:p w14:paraId="1ADA42D5"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Euros/m3</w:t>
            </w:r>
          </w:p>
        </w:tc>
      </w:tr>
      <w:tr w:rsidR="00537205" w:rsidRPr="00E2138D" w14:paraId="745B1009" w14:textId="77777777" w:rsidTr="00475DD6">
        <w:tc>
          <w:tcPr>
            <w:tcW w:w="7655" w:type="dxa"/>
            <w:gridSpan w:val="3"/>
          </w:tcPr>
          <w:p w14:paraId="13671346"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Esta parte variable se aplicará a los metros cúbicos de agua utilizados en cada vivienda o finca con independencia del caudal vertido</w:t>
            </w:r>
          </w:p>
        </w:tc>
      </w:tr>
    </w:tbl>
    <w:p w14:paraId="64831E88" w14:textId="77777777" w:rsidR="00537205" w:rsidRPr="00E2138D" w:rsidRDefault="00537205" w:rsidP="00537205">
      <w:pPr>
        <w:pStyle w:val="Textoindependiente"/>
        <w:spacing w:line="288" w:lineRule="auto"/>
        <w:rPr>
          <w:rFonts w:ascii="AytoRoquetas Light Condensed" w:hAnsi="AytoRoquetas Light Condensed"/>
          <w:i/>
          <w:iCs/>
          <w:sz w:val="20"/>
        </w:rPr>
      </w:pPr>
    </w:p>
    <w:p w14:paraId="15372B97" w14:textId="77777777" w:rsidR="00537205" w:rsidRPr="00E2138D" w:rsidRDefault="00537205" w:rsidP="00537205">
      <w:pPr>
        <w:pStyle w:val="Textoindependiente"/>
        <w:spacing w:line="288" w:lineRule="auto"/>
        <w:ind w:left="567" w:right="340"/>
        <w:rPr>
          <w:rFonts w:ascii="AytoRoquetas Light Condensed" w:hAnsi="AytoRoquetas Light Condensed"/>
          <w:b w:val="0"/>
          <w:bCs/>
          <w:i/>
          <w:iCs/>
          <w:sz w:val="20"/>
        </w:rPr>
      </w:pPr>
      <w:r w:rsidRPr="00E2138D">
        <w:rPr>
          <w:rFonts w:ascii="AytoRoquetas Light Condensed" w:hAnsi="AytoRoquetas Light Condensed"/>
          <w:b w:val="0"/>
          <w:bCs/>
          <w:i/>
          <w:iCs/>
          <w:sz w:val="20"/>
        </w:rPr>
        <w:t>Esta parte variable se aplicará a los metros cúbicos de agua servidos en el punto de entrega fijado.</w:t>
      </w:r>
    </w:p>
    <w:p w14:paraId="008FEDB7"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 </w:t>
      </w:r>
    </w:p>
    <w:p w14:paraId="2C9F3F40" w14:textId="77777777" w:rsidR="00537205" w:rsidRPr="00E2138D" w:rsidRDefault="00537205" w:rsidP="00537205">
      <w:pPr>
        <w:pStyle w:val="Prrafodelista"/>
        <w:spacing w:after="0" w:line="288" w:lineRule="auto"/>
        <w:ind w:left="567" w:right="340"/>
        <w:rPr>
          <w:rFonts w:ascii="AytoRoquetas Light Condensed" w:hAnsi="AytoRoquetas Light Condensed"/>
          <w:i/>
          <w:iCs/>
          <w:sz w:val="20"/>
          <w:szCs w:val="20"/>
        </w:rPr>
      </w:pPr>
      <w:r w:rsidRPr="00E2138D">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744A55D0"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Parte Fija x número </w:t>
      </w:r>
      <w:proofErr w:type="spellStart"/>
      <w:r w:rsidRPr="00E2138D">
        <w:rPr>
          <w:rFonts w:ascii="AytoRoquetas Light Condensed" w:hAnsi="AytoRoquetas Light Condensed"/>
          <w:i/>
          <w:iCs/>
          <w:sz w:val="20"/>
          <w:szCs w:val="20"/>
        </w:rPr>
        <w:t>vvda</w:t>
      </w:r>
      <w:proofErr w:type="spellEnd"/>
      <w:r w:rsidRPr="00E2138D">
        <w:rPr>
          <w:rFonts w:ascii="AytoRoquetas Light Condensed" w:hAnsi="AytoRoquetas Light Condensed"/>
          <w:i/>
          <w:iCs/>
          <w:sz w:val="20"/>
          <w:szCs w:val="20"/>
        </w:rPr>
        <w:t xml:space="preserve"> equivalente + Parte Variable x m3 x K</w:t>
      </w:r>
    </w:p>
    <w:p w14:paraId="62CAF08D"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1E7B4DAE"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El parámetro K es un coeficiente variable en función del índice de contaminación del vertido, el cual vendrá regulado en la correspondiente Ordenanza de Vertido del Consorcio.</w:t>
      </w:r>
    </w:p>
    <w:p w14:paraId="7B5FDABC"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En caso de ser vertido doméstico y asimilables a domésticos, K será igual a 1 (unidad), y se actualizará su valor conforme las correspondientes actualizaciones de la citada Ordenanza reguladora de Vertido.”</w:t>
      </w:r>
    </w:p>
    <w:p w14:paraId="275745ED" w14:textId="77777777" w:rsidR="00537205" w:rsidRPr="00E2138D" w:rsidRDefault="00537205" w:rsidP="00537205">
      <w:pPr>
        <w:spacing w:after="0" w:line="288" w:lineRule="auto"/>
        <w:jc w:val="both"/>
        <w:rPr>
          <w:rFonts w:ascii="AytoRoquetas Light Condensed" w:hAnsi="AytoRoquetas Light Condensed"/>
          <w:b/>
          <w:bCs/>
          <w:sz w:val="20"/>
          <w:szCs w:val="20"/>
        </w:rPr>
      </w:pPr>
    </w:p>
    <w:p w14:paraId="5A2250AA"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r w:rsidRPr="00E2138D">
        <w:rPr>
          <w:rFonts w:ascii="AytoRoquetas Light Condensed" w:hAnsi="AytoRoquetas Light Condensed"/>
          <w:b/>
          <w:bCs/>
          <w:sz w:val="20"/>
          <w:szCs w:val="20"/>
        </w:rPr>
        <w:t>5.</w:t>
      </w:r>
      <w:r w:rsidRPr="00E2138D">
        <w:rPr>
          <w:rFonts w:ascii="AytoRoquetas Light Condensed" w:hAnsi="AytoRoquetas Light Condensed"/>
          <w:sz w:val="20"/>
          <w:szCs w:val="20"/>
        </w:rPr>
        <w:t xml:space="preserve"> En la sesión celebrada por la Junta General del Consorcio (Acta 42/2020) el </w:t>
      </w:r>
      <w:r w:rsidRPr="00E2138D">
        <w:rPr>
          <w:rFonts w:ascii="AytoRoquetas Light Condensed" w:hAnsi="AytoRoquetas Light Condensed"/>
          <w:b/>
          <w:bCs/>
          <w:sz w:val="20"/>
          <w:szCs w:val="20"/>
        </w:rPr>
        <w:t>30 de noviembre de 2020</w:t>
      </w:r>
      <w:r w:rsidRPr="00E2138D">
        <w:rPr>
          <w:rFonts w:ascii="AytoRoquetas Light Condensed" w:hAnsi="AytoRoquetas Light Condensed"/>
          <w:sz w:val="20"/>
          <w:szCs w:val="20"/>
        </w:rPr>
        <w:t xml:space="preserve"> se dispuso entre otros el siguiente Acuerdo:</w:t>
      </w:r>
    </w:p>
    <w:p w14:paraId="717D731B" w14:textId="77777777" w:rsidR="00537205" w:rsidRPr="00E2138D" w:rsidRDefault="00537205" w:rsidP="00537205">
      <w:pPr>
        <w:spacing w:after="0" w:line="288" w:lineRule="auto"/>
        <w:jc w:val="both"/>
        <w:rPr>
          <w:rFonts w:ascii="AytoRoquetas Light Condensed" w:hAnsi="AytoRoquetas Light Condensed"/>
          <w:sz w:val="20"/>
          <w:szCs w:val="20"/>
        </w:rPr>
      </w:pPr>
      <w:r w:rsidRPr="00E2138D">
        <w:rPr>
          <w:rFonts w:ascii="AytoRoquetas Light Condensed" w:hAnsi="AytoRoquetas Light Condensed"/>
          <w:sz w:val="20"/>
          <w:szCs w:val="20"/>
        </w:rPr>
        <w:t>“</w:t>
      </w:r>
      <w:r w:rsidRPr="00E2138D">
        <w:rPr>
          <w:rFonts w:ascii="AytoRoquetas Light Condensed" w:hAnsi="AytoRoquetas Light Condensed"/>
          <w:b/>
          <w:bCs/>
          <w:sz w:val="20"/>
          <w:szCs w:val="20"/>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14:paraId="74B5BB7B" w14:textId="77777777" w:rsidR="00537205" w:rsidRPr="00E2138D" w:rsidRDefault="00537205" w:rsidP="00537205">
      <w:pPr>
        <w:spacing w:after="0" w:line="288" w:lineRule="auto"/>
        <w:jc w:val="both"/>
        <w:rPr>
          <w:rFonts w:ascii="AytoRoquetas Light Condensed" w:hAnsi="AytoRoquetas Light Condensed"/>
          <w:sz w:val="20"/>
          <w:szCs w:val="20"/>
        </w:rPr>
      </w:pPr>
      <w:r w:rsidRPr="00E2138D">
        <w:rPr>
          <w:rFonts w:ascii="AytoRoquetas Light Condensed" w:hAnsi="AytoRoquetas Light Condensed"/>
          <w:sz w:val="20"/>
          <w:szCs w:val="20"/>
        </w:rPr>
        <w:t>Resultando aprobado el coste del servicio en los términos siguientes para la EDAR de Roquetas de Mar</w:t>
      </w:r>
    </w:p>
    <w:p w14:paraId="7AE65471" w14:textId="77777777" w:rsidR="00537205" w:rsidRPr="00E2138D" w:rsidRDefault="00537205" w:rsidP="00537205">
      <w:pPr>
        <w:spacing w:after="0" w:line="288" w:lineRule="auto"/>
        <w:jc w:val="both"/>
        <w:rPr>
          <w:rFonts w:ascii="AytoRoquetas Light Condensed" w:hAnsi="AytoRoquetas Light Condensed"/>
          <w:sz w:val="20"/>
          <w:szCs w:val="20"/>
        </w:rPr>
      </w:pPr>
      <w:r w:rsidRPr="00E2138D">
        <w:rPr>
          <w:noProof/>
          <w:sz w:val="20"/>
          <w:szCs w:val="20"/>
        </w:rPr>
        <w:drawing>
          <wp:inline distT="0" distB="0" distL="0" distR="0" wp14:anchorId="1FF31828" wp14:editId="4BF27685">
            <wp:extent cx="5400040" cy="3799840"/>
            <wp:effectExtent l="0" t="0" r="0" b="0"/>
            <wp:docPr id="708924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24779" name=""/>
                    <pic:cNvPicPr/>
                  </pic:nvPicPr>
                  <pic:blipFill>
                    <a:blip r:embed="rId7"/>
                    <a:stretch>
                      <a:fillRect/>
                    </a:stretch>
                  </pic:blipFill>
                  <pic:spPr>
                    <a:xfrm>
                      <a:off x="0" y="0"/>
                      <a:ext cx="5400040" cy="3799840"/>
                    </a:xfrm>
                    <a:prstGeom prst="rect">
                      <a:avLst/>
                    </a:prstGeom>
                  </pic:spPr>
                </pic:pic>
              </a:graphicData>
            </a:graphic>
          </wp:inline>
        </w:drawing>
      </w:r>
    </w:p>
    <w:p w14:paraId="71426F81" w14:textId="77777777" w:rsidR="00537205" w:rsidRPr="00E2138D" w:rsidRDefault="00537205" w:rsidP="00537205">
      <w:pPr>
        <w:spacing w:after="0" w:line="288" w:lineRule="auto"/>
        <w:jc w:val="both"/>
        <w:rPr>
          <w:rFonts w:ascii="AytoRoquetas Light Condensed" w:hAnsi="AytoRoquetas Light Condensed"/>
          <w:sz w:val="20"/>
          <w:szCs w:val="20"/>
        </w:rPr>
      </w:pPr>
    </w:p>
    <w:p w14:paraId="1CBC9CD4" w14:textId="77777777" w:rsidR="00537205" w:rsidRPr="00E2138D" w:rsidRDefault="00537205" w:rsidP="00537205">
      <w:pPr>
        <w:spacing w:after="0" w:line="288" w:lineRule="auto"/>
        <w:ind w:firstLine="708"/>
        <w:jc w:val="both"/>
        <w:rPr>
          <w:rFonts w:ascii="AytoRoquetas Light Condensed" w:hAnsi="AytoRoquetas Light Condensed"/>
          <w:b/>
          <w:bCs/>
          <w:sz w:val="20"/>
          <w:szCs w:val="20"/>
        </w:rPr>
      </w:pPr>
      <w:r w:rsidRPr="00E2138D">
        <w:rPr>
          <w:rFonts w:ascii="AytoRoquetas Light Condensed" w:hAnsi="AytoRoquetas Light Condensed"/>
          <w:sz w:val="20"/>
          <w:szCs w:val="20"/>
        </w:rPr>
        <w:t xml:space="preserve">Por lo que, </w:t>
      </w:r>
      <w:r w:rsidRPr="00E2138D">
        <w:rPr>
          <w:rFonts w:ascii="AytoRoquetas Light Condensed" w:hAnsi="AytoRoquetas Light Condensed"/>
          <w:b/>
          <w:bCs/>
          <w:sz w:val="20"/>
          <w:szCs w:val="20"/>
        </w:rPr>
        <w:t>el ultimo coste de servicio aprobado para la EDAR de El Ejido es el correspondiente al ejercicio 2018 poniendo de manifiesto un Coste Total de Explotación por importe de 2.083.812,50€.</w:t>
      </w:r>
    </w:p>
    <w:p w14:paraId="0AD93953" w14:textId="77777777" w:rsidR="00537205" w:rsidRPr="00E2138D" w:rsidRDefault="00537205" w:rsidP="00537205">
      <w:pPr>
        <w:spacing w:after="0" w:line="288" w:lineRule="auto"/>
        <w:jc w:val="both"/>
        <w:rPr>
          <w:rFonts w:ascii="AytoRoquetas Light Condensed" w:hAnsi="AytoRoquetas Light Condensed"/>
          <w:sz w:val="20"/>
          <w:szCs w:val="20"/>
        </w:rPr>
      </w:pPr>
    </w:p>
    <w:p w14:paraId="4A78E37E"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b/>
          <w:bCs/>
          <w:sz w:val="20"/>
          <w:szCs w:val="20"/>
        </w:rPr>
        <w:t>6</w:t>
      </w:r>
      <w:r w:rsidRPr="00E2138D">
        <w:rPr>
          <w:rFonts w:ascii="AytoRoquetas Light Condensed" w:hAnsi="AytoRoquetas Light Condensed"/>
          <w:sz w:val="20"/>
          <w:szCs w:val="20"/>
        </w:rPr>
        <w:t xml:space="preserve">. El 5 de agosto de 2021 se publicó en el BOP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14:paraId="1ABC3769" w14:textId="77777777" w:rsidR="00537205" w:rsidRPr="00E2138D" w:rsidRDefault="00537205" w:rsidP="00537205">
      <w:pPr>
        <w:spacing w:after="0" w:line="288" w:lineRule="auto"/>
        <w:jc w:val="both"/>
        <w:rPr>
          <w:rFonts w:ascii="AytoRoquetas Light Condensed" w:hAnsi="AytoRoquetas Light Condensed"/>
          <w:sz w:val="20"/>
          <w:szCs w:val="20"/>
        </w:rPr>
      </w:pPr>
    </w:p>
    <w:p w14:paraId="41A67A6E"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b/>
          <w:bCs/>
          <w:sz w:val="20"/>
          <w:szCs w:val="20"/>
        </w:rPr>
        <w:t>7</w:t>
      </w:r>
      <w:r w:rsidRPr="00E2138D">
        <w:rPr>
          <w:rFonts w:ascii="AytoRoquetas Light Condensed" w:hAnsi="AytoRoquetas Light Condensed"/>
          <w:sz w:val="20"/>
          <w:szCs w:val="20"/>
        </w:rPr>
        <w:t>. El 30 de junio de 2023, mediante escritos con registros de entrada números 121 y 123, don Alejandro José Jurado Ramírez, quien actuando en nombre y representación de la mercantil contratista UTE DEPURACION PONIENTE ALMERIENSE, SA solicita revisión del precio del contrato conforme al IPC de mayo 2018 a 2013 así como el incremento de la última Tarifa aprobada al considerar que se le está produciendo perjuicio económico.</w:t>
      </w:r>
    </w:p>
    <w:p w14:paraId="2AB3AC26"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p>
    <w:p w14:paraId="49DFEDA5"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sz w:val="20"/>
          <w:szCs w:val="20"/>
        </w:rPr>
        <w:t>A los antecedentes descritos resultan de aplicación los siguientes</w:t>
      </w:r>
    </w:p>
    <w:p w14:paraId="2EACA37E"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3008D65E"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b/>
          <w:bCs/>
          <w:sz w:val="20"/>
          <w:szCs w:val="20"/>
        </w:rPr>
        <w:t xml:space="preserve">8. </w:t>
      </w:r>
      <w:r w:rsidRPr="00E2138D">
        <w:rPr>
          <w:rFonts w:ascii="AytoRoquetas Light Condensed" w:hAnsi="AytoRoquetas Light Condensed"/>
          <w:sz w:val="20"/>
          <w:szCs w:val="20"/>
        </w:rPr>
        <w:t xml:space="preserve">Consta en el expediente informe del técnico adscrito al Consorcio de fecha 31 de octubre de 2023, notificado a UTE DEPURACION PONIENTE ALMERIENSE SA, en trámite de audiencia, el 11 de noviembre de 2023 (RS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134 de 31 de octubre) en el que se propone:</w:t>
      </w:r>
    </w:p>
    <w:p w14:paraId="5E149376" w14:textId="77777777" w:rsidR="00537205" w:rsidRPr="00E2138D" w:rsidRDefault="00537205" w:rsidP="00537205">
      <w:pPr>
        <w:ind w:left="709" w:right="70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1º.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566A025D" w14:textId="77777777" w:rsidR="00537205" w:rsidRPr="00E2138D" w:rsidRDefault="00537205" w:rsidP="00537205">
      <w:pPr>
        <w:ind w:left="709" w:right="70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2º. Desestimar la revisión de las tarifas pretendida por UTE DEPURACIÓN PONIENTE ALMERIENSE SA al no existir motivo que la justifique.</w:t>
      </w:r>
    </w:p>
    <w:p w14:paraId="3BE98439" w14:textId="77777777" w:rsidR="00537205" w:rsidRPr="00E2138D" w:rsidRDefault="00537205" w:rsidP="00537205">
      <w:pPr>
        <w:ind w:left="709" w:right="707"/>
        <w:jc w:val="both"/>
        <w:rPr>
          <w:rFonts w:ascii="AytoRoquetas Light Condensed" w:hAnsi="AytoRoquetas Light Condensed"/>
          <w:sz w:val="20"/>
          <w:szCs w:val="20"/>
        </w:rPr>
      </w:pPr>
      <w:r w:rsidRPr="00E2138D">
        <w:rPr>
          <w:rFonts w:ascii="AytoRoquetas Light Condensed" w:hAnsi="AytoRoquetas Light Condensed"/>
          <w:i/>
          <w:iCs/>
          <w:sz w:val="20"/>
          <w:szCs w:val="20"/>
        </w:rPr>
        <w:t>3º. Notificar el presente acuerdo a UTE DEPURACIÓN PONIENTE ALMERIENSE SA, concediéndole un plazo de 10 días para que alegue y presente los documentos y justificaciones que estime pertinentes de conformidad con el artículo 82 LPACAP.</w:t>
      </w:r>
    </w:p>
    <w:p w14:paraId="088261C4" w14:textId="77777777" w:rsidR="00537205" w:rsidRPr="00E2138D" w:rsidRDefault="00537205" w:rsidP="00537205">
      <w:pPr>
        <w:spacing w:line="288" w:lineRule="auto"/>
        <w:ind w:firstLine="709"/>
        <w:contextualSpacing/>
        <w:jc w:val="both"/>
        <w:rPr>
          <w:rFonts w:ascii="AytoRoquetas Light Condensed" w:hAnsi="AytoRoquetas Light Condensed"/>
          <w:b/>
          <w:bCs/>
          <w:sz w:val="20"/>
          <w:szCs w:val="20"/>
        </w:rPr>
      </w:pPr>
    </w:p>
    <w:p w14:paraId="0CED54A1"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b/>
          <w:bCs/>
          <w:sz w:val="20"/>
          <w:szCs w:val="20"/>
        </w:rPr>
        <w:t>9.</w:t>
      </w:r>
      <w:r w:rsidRPr="00E2138D">
        <w:rPr>
          <w:rFonts w:ascii="AytoRoquetas Light Condensed" w:hAnsi="AytoRoquetas Light Condensed"/>
          <w:sz w:val="20"/>
          <w:szCs w:val="20"/>
        </w:rPr>
        <w:t xml:space="preserve"> UTE DEPURACION PONIENTE ALMERIENSE SA no ha presentado alegaciones ni ha aportado otros documentos al expediente.</w:t>
      </w:r>
    </w:p>
    <w:p w14:paraId="07D44F5A"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76F4DF46"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sz w:val="20"/>
          <w:szCs w:val="20"/>
        </w:rPr>
        <w:t xml:space="preserve">A los antecedentes descritos resultan de aplicación los siguientes </w:t>
      </w:r>
    </w:p>
    <w:p w14:paraId="2B266762" w14:textId="77777777" w:rsidR="00537205" w:rsidRPr="00E2138D" w:rsidRDefault="00537205" w:rsidP="00537205">
      <w:pPr>
        <w:spacing w:line="288" w:lineRule="auto"/>
        <w:contextualSpacing/>
        <w:jc w:val="both"/>
        <w:rPr>
          <w:rFonts w:ascii="AytoRoquetas Light Condensed" w:hAnsi="AytoRoquetas Light Condensed"/>
          <w:sz w:val="20"/>
          <w:szCs w:val="20"/>
        </w:rPr>
      </w:pPr>
    </w:p>
    <w:p w14:paraId="7B58E441" w14:textId="77777777" w:rsidR="00537205" w:rsidRPr="00E2138D" w:rsidRDefault="00537205" w:rsidP="00537205">
      <w:pPr>
        <w:spacing w:line="288" w:lineRule="auto"/>
        <w:contextualSpacing/>
        <w:jc w:val="both"/>
        <w:rPr>
          <w:rFonts w:ascii="AytoRoquetas Light Condensed" w:hAnsi="AytoRoquetas Light Condensed"/>
          <w:sz w:val="20"/>
          <w:szCs w:val="20"/>
        </w:rPr>
      </w:pPr>
    </w:p>
    <w:p w14:paraId="1C3980A9" w14:textId="77777777" w:rsidR="00537205" w:rsidRPr="00E2138D" w:rsidRDefault="00537205" w:rsidP="00537205">
      <w:pPr>
        <w:spacing w:line="288" w:lineRule="auto"/>
        <w:contextualSpacing/>
        <w:jc w:val="center"/>
        <w:rPr>
          <w:rFonts w:ascii="AytoRoquetas Light Condensed" w:hAnsi="AytoRoquetas Light Condensed"/>
          <w:b/>
          <w:bCs/>
          <w:sz w:val="20"/>
          <w:szCs w:val="20"/>
        </w:rPr>
      </w:pPr>
      <w:r w:rsidRPr="00E2138D">
        <w:rPr>
          <w:rFonts w:ascii="AytoRoquetas Light Condensed" w:hAnsi="AytoRoquetas Light Condensed"/>
          <w:b/>
          <w:bCs/>
          <w:sz w:val="20"/>
          <w:szCs w:val="20"/>
        </w:rPr>
        <w:t>II. FUNDAMENTOS DE DERECHO</w:t>
      </w:r>
    </w:p>
    <w:p w14:paraId="65098E5C" w14:textId="77777777" w:rsidR="00537205" w:rsidRPr="00E2138D" w:rsidRDefault="00537205" w:rsidP="00537205">
      <w:pPr>
        <w:spacing w:line="288" w:lineRule="auto"/>
        <w:ind w:firstLine="709"/>
        <w:contextualSpacing/>
        <w:jc w:val="both"/>
        <w:rPr>
          <w:rFonts w:ascii="AytoRoquetas Light Condensed" w:hAnsi="AytoRoquetas Light Condensed"/>
          <w:i/>
          <w:iCs/>
          <w:sz w:val="20"/>
          <w:szCs w:val="20"/>
        </w:rPr>
      </w:pPr>
    </w:p>
    <w:p w14:paraId="3AA75DC0"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b/>
          <w:bCs/>
          <w:i/>
          <w:iCs/>
          <w:kern w:val="1"/>
          <w:sz w:val="20"/>
          <w:szCs w:val="20"/>
          <w:lang w:eastAsia="zh-CN" w:bidi="hi-IN"/>
        </w:rPr>
      </w:pPr>
      <w:r w:rsidRPr="00E2138D">
        <w:rPr>
          <w:rFonts w:ascii="AytoRoquetas Light Condensed" w:hAnsi="AytoRoquetas Light Condensed" w:cs="Tahoma"/>
          <w:b/>
          <w:bCs/>
          <w:i/>
          <w:iCs/>
          <w:kern w:val="1"/>
          <w:sz w:val="20"/>
          <w:szCs w:val="20"/>
          <w:lang w:eastAsia="zh-CN" w:bidi="hi-IN"/>
        </w:rPr>
        <w:t>1. Marco Jurídico Regulador.</w:t>
      </w:r>
    </w:p>
    <w:p w14:paraId="41C47208"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w:t>
      </w:r>
    </w:p>
    <w:p w14:paraId="28576A3C"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“Los contratos administrativos adjudicados con anterioridad a la entrada en vigor de la presente Ley se regirán, en cuanto a sus efectos, cumplimiento y extinción, incluida su modificación, duración y régimen de prórrogas, por la normativa anterior”</w:t>
      </w:r>
    </w:p>
    <w:p w14:paraId="3C9344A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En el caso que nos ocupa dado que el contrato se adjudicó en fecha 21 de mayo de 2002 la normativa de aplicación al mismo es la que se detalla en la Cláusula 1 apartado 9º de las que componen el Pliego de </w:t>
      </w:r>
      <w:proofErr w:type="spellStart"/>
      <w:r w:rsidRPr="00E2138D">
        <w:rPr>
          <w:rFonts w:ascii="AytoRoquetas Light Condensed" w:hAnsi="AytoRoquetas Light Condensed" w:cs="Tahoma"/>
          <w:i/>
          <w:iCs/>
          <w:kern w:val="1"/>
          <w:sz w:val="20"/>
          <w:szCs w:val="20"/>
          <w:lang w:eastAsia="zh-CN" w:bidi="hi-IN"/>
        </w:rPr>
        <w:t>Clausulas</w:t>
      </w:r>
      <w:proofErr w:type="spellEnd"/>
      <w:r w:rsidRPr="00E2138D">
        <w:rPr>
          <w:rFonts w:ascii="AytoRoquetas Light Condensed" w:hAnsi="AytoRoquetas Light Condensed" w:cs="Tahoma"/>
          <w:i/>
          <w:iCs/>
          <w:kern w:val="1"/>
          <w:sz w:val="20"/>
          <w:szCs w:val="20"/>
          <w:lang w:eastAsia="zh-CN" w:bidi="hi-IN"/>
        </w:rPr>
        <w:t xml:space="preserve"> Administrativas Particulares del presente contrato de concesión de servicio, sin perjuicio de la sucesión de normas de carácter administrativo, esto es:</w:t>
      </w:r>
    </w:p>
    <w:p w14:paraId="78BDB81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-Pliego de Cláusulas Administrativas Particulares.</w:t>
      </w:r>
    </w:p>
    <w:p w14:paraId="214C7379"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-Pliego de Prescripciones Técnicas Particulares.</w:t>
      </w:r>
    </w:p>
    <w:p w14:paraId="0CF69B16"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-Contrato Administrativo suscrito en fecha 21 de junio de 2002, en virtud de la oferta presentada por la mercantil UTE SOGESUR-INIMA (hoy UTE DEPURACION PONIENTE ALMERIENSE, SA) para la prestación del servicio objeto de concesión. </w:t>
      </w:r>
    </w:p>
    <w:p w14:paraId="6BA86252"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-Texto Refundido de la Ley de Contratos de las Administraciones Publicas, aprobado por Real Decreto Legislativo 2/2000 de 16 de junio (TRLCAP)</w:t>
      </w:r>
    </w:p>
    <w:p w14:paraId="35D0E0FF"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-Ley 7/1985 de 02 de abril reguladora de las Bases del Régimen Local</w:t>
      </w:r>
    </w:p>
    <w:p w14:paraId="29545E32"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-Real Decreto Legislativo 781/1986, de 18 de abril, por el que se aprueba el texto refundido de las disposiciones legales vigentes en materia de Régimen Local.</w:t>
      </w:r>
    </w:p>
    <w:p w14:paraId="24AE698D"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-Reglamento de Servicios de las Corporaciones Locales, aprobado por Decreto de fecha 17 de junio de 1955</w:t>
      </w:r>
    </w:p>
    <w:p w14:paraId="52140157"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-Resto de normativa administrativa: Ley 39/2015, 01 de octubre de Procedimiento Administrativo común de las Administraciones Públicas (LPACAP), Ley 40/2015 de 01 de octubre de régimen Jurídico del Sector Público (LRJAP)</w:t>
      </w:r>
    </w:p>
    <w:p w14:paraId="64844C82"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-Normativa pública de naturaleza ambiental aplicable al régimen de aguas, depuración y vertido al DPH y DPMT</w:t>
      </w:r>
    </w:p>
    <w:p w14:paraId="4277F244"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-Ordenanza Reguladora del Servicio: Ordenanza de Vertidos a la Red de alcantarillado del consorcio para la Gestión de los Servicios Integrados de Abastecimiento de Agua y Saneamiento del Poniente Almeriense. </w:t>
      </w:r>
    </w:p>
    <w:p w14:paraId="0E95E8C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-Ordenanza de Prestación Patrimonial de carácter </w:t>
      </w:r>
      <w:proofErr w:type="spellStart"/>
      <w:r w:rsidRPr="00E2138D">
        <w:rPr>
          <w:rFonts w:ascii="AytoRoquetas Light Condensed" w:hAnsi="AytoRoquetas Light Condensed" w:cs="Tahoma"/>
          <w:i/>
          <w:iCs/>
          <w:kern w:val="1"/>
          <w:sz w:val="20"/>
          <w:szCs w:val="20"/>
          <w:lang w:eastAsia="zh-CN" w:bidi="hi-IN"/>
        </w:rPr>
        <w:t>publico</w:t>
      </w:r>
      <w:proofErr w:type="spellEnd"/>
      <w:r w:rsidRPr="00E2138D">
        <w:rPr>
          <w:rFonts w:ascii="AytoRoquetas Light Condensed" w:hAnsi="AytoRoquetas Light Condensed" w:cs="Tahoma"/>
          <w:i/>
          <w:iCs/>
          <w:kern w:val="1"/>
          <w:sz w:val="20"/>
          <w:szCs w:val="20"/>
          <w:lang w:eastAsia="zh-CN" w:bidi="hi-IN"/>
        </w:rPr>
        <w:t xml:space="preserve"> no tributaria por el Servicio de Depuración de Aguas residuales del Consorcio.</w:t>
      </w:r>
    </w:p>
    <w:p w14:paraId="280FFE79"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08A23C2E"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b/>
          <w:bCs/>
          <w:i/>
          <w:iCs/>
          <w:kern w:val="1"/>
          <w:sz w:val="20"/>
          <w:szCs w:val="20"/>
          <w:lang w:eastAsia="zh-CN" w:bidi="hi-IN"/>
        </w:rPr>
        <w:t>2</w:t>
      </w:r>
      <w:r w:rsidRPr="00E2138D">
        <w:rPr>
          <w:rFonts w:ascii="AytoRoquetas Light Condensed" w:hAnsi="AytoRoquetas Light Condensed" w:cs="Tahoma"/>
          <w:i/>
          <w:iCs/>
          <w:kern w:val="1"/>
          <w:sz w:val="20"/>
          <w:szCs w:val="20"/>
          <w:lang w:eastAsia="zh-CN" w:bidi="hi-IN"/>
        </w:rPr>
        <w:t>.</w:t>
      </w:r>
      <w:r w:rsidRPr="00E2138D">
        <w:rPr>
          <w:rFonts w:ascii="AytoRoquetas Light Condensed" w:hAnsi="AytoRoquetas Light Condensed" w:cs="Tahoma"/>
          <w:b/>
          <w:bCs/>
          <w:i/>
          <w:iCs/>
          <w:kern w:val="1"/>
          <w:sz w:val="20"/>
          <w:szCs w:val="20"/>
          <w:lang w:eastAsia="zh-CN" w:bidi="hi-IN"/>
        </w:rPr>
        <w:t xml:space="preserve"> Revisión de Precios Ordinaria</w:t>
      </w:r>
      <w:r w:rsidRPr="00E2138D">
        <w:rPr>
          <w:rFonts w:ascii="AytoRoquetas Light Condensed" w:hAnsi="AytoRoquetas Light Condensed" w:cs="Tahoma"/>
          <w:i/>
          <w:iCs/>
          <w:kern w:val="1"/>
          <w:sz w:val="20"/>
          <w:szCs w:val="20"/>
          <w:lang w:eastAsia="zh-CN" w:bidi="hi-IN"/>
        </w:rPr>
        <w:t xml:space="preserve">. </w:t>
      </w:r>
    </w:p>
    <w:p w14:paraId="52EB6A7B"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14:paraId="2C60CC3F"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18886561"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La Junta Consultiva de Contratación de Aragón en su informe 7/2019 de 29 de octubre dispone que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14:paraId="43A60192"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529714E1"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Por su parte, determina el art. 103.3 del TRLCAP en relación a este particular que “El pliego de cláusulas administrativas particulares deberá detallar la fórmula o sistema de revisión aplicable y, en resolución motivada, podrá establecerse la improcedencia de la misma que igualmente deberá hacerse constar en dicho pliego.”</w:t>
      </w:r>
    </w:p>
    <w:p w14:paraId="0908E996"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35F5DDE9"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Añadiendo el art. 104 del mismo cuerpo normativo en relación al sistema de revisión de precios lo siguiente: “1.</w:t>
      </w:r>
      <w:r w:rsidRPr="00E2138D">
        <w:rPr>
          <w:rFonts w:ascii="AytoRoquetas Light Condensed" w:hAnsi="AytoRoquetas Light Condensed" w:cs="Tahoma"/>
          <w:i/>
          <w:iCs/>
          <w:kern w:val="1"/>
          <w:sz w:val="20"/>
          <w:szCs w:val="20"/>
          <w:lang w:eastAsia="zh-CN" w:bidi="hi-IN"/>
        </w:rPr>
        <w:t> </w:t>
      </w:r>
      <w:r w:rsidRPr="00E2138D">
        <w:rPr>
          <w:rFonts w:ascii="AytoRoquetas Light Condensed" w:hAnsi="AytoRoquetas Light Condensed" w:cs="Tahoma"/>
          <w:i/>
          <w:iCs/>
          <w:kern w:val="1"/>
          <w:sz w:val="20"/>
          <w:szCs w:val="20"/>
          <w:lang w:eastAsia="zh-CN" w:bidi="hi-IN"/>
        </w:rPr>
        <w:t>La revisión de precios se llevará a cabo mediante los índices o fórmulas de carácter oficial que determine el órgano de contratación. […] 3.</w:t>
      </w:r>
      <w:r w:rsidRPr="00E2138D">
        <w:rPr>
          <w:rFonts w:ascii="AytoRoquetas Light Condensed" w:hAnsi="AytoRoquetas Light Condensed" w:cs="Tahoma"/>
          <w:i/>
          <w:iCs/>
          <w:kern w:val="1"/>
          <w:sz w:val="20"/>
          <w:szCs w:val="20"/>
          <w:lang w:eastAsia="zh-CN" w:bidi="hi-IN"/>
        </w:rPr>
        <w:t> </w:t>
      </w:r>
      <w:r w:rsidRPr="00E2138D">
        <w:rPr>
          <w:rFonts w:ascii="AytoRoquetas Light Condensed" w:hAnsi="AytoRoquetas Light Condensed" w:cs="Tahoma"/>
          <w:i/>
          <w:iCs/>
          <w:kern w:val="1"/>
          <w:sz w:val="20"/>
          <w:szCs w:val="20"/>
          <w:lang w:eastAsia="zh-CN" w:bidi="hi-IN"/>
        </w:rPr>
        <w:t>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p>
    <w:p w14:paraId="344EF2E3"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53C8ADA1"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Tratándose de un procedimiento negociado, la fecha que ha de tenerse en cuenta para la revisión de precios es la de la adjudicación, esto es, el 21 de mayo de 2002.</w:t>
      </w:r>
    </w:p>
    <w:p w14:paraId="54B9D80C"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78A22709"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7FC08CEF"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18EBB905"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2625A299"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0CDBA0C0"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Por su parte, la cláusula 12.1 del PPT establece que “La revisión ordinaria de los costes del Servicio se realizará anualmente de acuerdo con la descomposición de precios que el adjudicatario haya ofertado según el desglose indicado en el apartado 3-Resumen, del Anexo </w:t>
      </w:r>
      <w:proofErr w:type="spellStart"/>
      <w:r w:rsidRPr="00E2138D">
        <w:rPr>
          <w:rFonts w:ascii="AytoRoquetas Light Condensed" w:hAnsi="AytoRoquetas Light Condensed" w:cs="Tahoma"/>
          <w:i/>
          <w:iCs/>
          <w:kern w:val="1"/>
          <w:sz w:val="20"/>
          <w:szCs w:val="20"/>
          <w:lang w:eastAsia="zh-CN" w:bidi="hi-IN"/>
        </w:rPr>
        <w:t>nº</w:t>
      </w:r>
      <w:proofErr w:type="spellEnd"/>
      <w:r w:rsidRPr="00E2138D">
        <w:rPr>
          <w:rFonts w:ascii="AytoRoquetas Light Condensed" w:hAnsi="AytoRoquetas Light Condensed" w:cs="Tahoma"/>
          <w:i/>
          <w:iCs/>
          <w:kern w:val="1"/>
          <w:sz w:val="20"/>
          <w:szCs w:val="20"/>
          <w:lang w:eastAsia="zh-CN" w:bidi="hi-IN"/>
        </w:rPr>
        <w:t xml:space="preserve">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60B29F12"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3F8D4DA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2AE8F0E3"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456DF98C"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270B5BD5"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79CECA66"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El artículo 56.1 TRLCAP establece que “dentro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0D37AAF6"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2BA6553E"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2720F601"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368A4CF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72B7A04E" w14:textId="77777777" w:rsidR="00537205" w:rsidRPr="00E2138D" w:rsidRDefault="00537205" w:rsidP="00537205">
      <w:pPr>
        <w:suppressAutoHyphens/>
        <w:spacing w:after="0" w:line="288" w:lineRule="auto"/>
        <w:jc w:val="both"/>
        <w:rPr>
          <w:rFonts w:ascii="AytoRoquetas Light Condensed" w:hAnsi="AytoRoquetas Light Condensed" w:cs="Tahoma"/>
          <w:b/>
          <w:bCs/>
          <w:i/>
          <w:iCs/>
          <w:kern w:val="1"/>
          <w:sz w:val="20"/>
          <w:szCs w:val="20"/>
          <w:lang w:eastAsia="zh-CN" w:bidi="hi-IN"/>
        </w:rPr>
      </w:pPr>
    </w:p>
    <w:p w14:paraId="098DC4DA"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b/>
          <w:bCs/>
          <w:i/>
          <w:iCs/>
          <w:kern w:val="1"/>
          <w:sz w:val="20"/>
          <w:szCs w:val="20"/>
          <w:lang w:eastAsia="zh-CN" w:bidi="hi-IN"/>
        </w:rPr>
        <w:t>3</w:t>
      </w:r>
      <w:r w:rsidRPr="00E2138D">
        <w:rPr>
          <w:rFonts w:ascii="AytoRoquetas Light Condensed" w:hAnsi="AytoRoquetas Light Condensed" w:cs="Tahoma"/>
          <w:i/>
          <w:iCs/>
          <w:kern w:val="1"/>
          <w:sz w:val="20"/>
          <w:szCs w:val="20"/>
          <w:lang w:eastAsia="zh-CN" w:bidi="hi-IN"/>
        </w:rPr>
        <w:t xml:space="preserve">.  </w:t>
      </w:r>
      <w:r w:rsidRPr="00E2138D">
        <w:rPr>
          <w:rFonts w:ascii="AytoRoquetas Light Condensed" w:hAnsi="AytoRoquetas Light Condensed" w:cs="Tahoma"/>
          <w:b/>
          <w:bCs/>
          <w:i/>
          <w:iCs/>
          <w:kern w:val="1"/>
          <w:sz w:val="20"/>
          <w:szCs w:val="20"/>
          <w:lang w:eastAsia="zh-CN" w:bidi="hi-IN"/>
        </w:rPr>
        <w:t>Revisión de tarifas</w:t>
      </w:r>
      <w:r w:rsidRPr="00E2138D">
        <w:rPr>
          <w:rFonts w:ascii="AytoRoquetas Light Condensed" w:hAnsi="AytoRoquetas Light Condensed" w:cs="Tahoma"/>
          <w:i/>
          <w:iCs/>
          <w:kern w:val="1"/>
          <w:sz w:val="20"/>
          <w:szCs w:val="20"/>
          <w:lang w:eastAsia="zh-CN" w:bidi="hi-IN"/>
        </w:rPr>
        <w:t>.</w:t>
      </w:r>
    </w:p>
    <w:p w14:paraId="1EC5A40F"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UTE DEPURACIÓN PONIENTE ALMERIENSE SA argumenta que debido al retraso en la aplicación de las tarifas correspondientes se le está causando un perjuicio que cuantifica en 55.634,36 € únicamente para el ejercicio 2022.  Dicha cantidad es la resultante de la comparación de los ingresos aprobados en 2018 y los que se consideran para 2022 (aplicando un incremento del 2,6%). No se aporta justificación alguna al cálculo ni se determina la fórmula aplicada (artículo 15.2.b del PCAP).</w:t>
      </w:r>
    </w:p>
    <w:p w14:paraId="1F338428"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1661A88F"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Según el artículo 163 TRLCAP, “la Administración podrá modificar, por razones de interés público, las características del servicio contratado y las tarifas que han de ser abonadas por los usuarios”. De la redacción del artículo 18.3 del del PCAP se extrae que son obligaciones del CIAP, entre otras, “revisar las tarifas y retribución del concesionario </w:t>
      </w:r>
      <w:r w:rsidRPr="00E2138D">
        <w:rPr>
          <w:rFonts w:ascii="AytoRoquetas Light Condensed" w:hAnsi="AytoRoquetas Light Condensed" w:cs="Tahoma"/>
          <w:i/>
          <w:iCs/>
          <w:kern w:val="1"/>
          <w:sz w:val="20"/>
          <w:szCs w:val="20"/>
          <w:u w:val="single"/>
          <w:lang w:eastAsia="zh-CN" w:bidi="hi-IN"/>
        </w:rPr>
        <w:t>cuando proceda</w:t>
      </w:r>
      <w:r w:rsidRPr="00E2138D">
        <w:rPr>
          <w:rFonts w:ascii="AytoRoquetas Light Condensed" w:hAnsi="AytoRoquetas Light Condensed" w:cs="Tahoma"/>
          <w:i/>
          <w:iCs/>
          <w:kern w:val="1"/>
          <w:sz w:val="20"/>
          <w:szCs w:val="20"/>
          <w:lang w:eastAsia="zh-CN" w:bidi="hi-IN"/>
        </w:rPr>
        <w:t xml:space="preserve"> según lo previsto en el Pliego de Prescripciones Técnicas. En caso de circunstancias excepcionales, se tendrá en cuenta el mantenimiento del equilibrio económico y financiero del servicio concedido, según artículo 127.2 del Reglamento de Servicios de Corporaciones Locales”.</w:t>
      </w:r>
    </w:p>
    <w:p w14:paraId="3B8C2800"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0AE76EBB"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De la documentación que obra incorporada al expediente no se detrae que el incremento de la tarifa que pretende la concesionaria sea necesario para cubrir con el coste del servicio y suponga un menor ingreso del concesionario, que en cualquier caso ya lo tiene garantizado, pese a que con anterioridad el CIAP haya incrementado la tarifa en la misma medida que los costes del servicio.</w:t>
      </w:r>
    </w:p>
    <w:p w14:paraId="6B8FB088"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02743EE1"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No se observa motivo alguno de interés público que pueda llegar a justificar el incremento de dicha tarifa, que en cualquier caso debe limitarse a garantizar la autofinanciación del servicio tal y como se recoge en el artículo 15.2.b del PCAP que rige la concesión, todo ello con independencia de que el posible déficit que se produjese en caso de que la tarifa vigente no fuera suficiente para costear el servicio, podría ser asumido por el CIAP en los términos previstos en el artículo 129 del Reglamento de Servicios de las Corporaciones Locales, por lo que la solicitud de revisión de las tarifas debe ser desestimada.</w:t>
      </w:r>
    </w:p>
    <w:p w14:paraId="409CFFC0"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620C4390" w14:textId="77777777" w:rsidR="00537205" w:rsidRPr="00E2138D" w:rsidRDefault="00537205" w:rsidP="00537205">
      <w:pPr>
        <w:spacing w:line="288" w:lineRule="auto"/>
        <w:ind w:firstLine="709"/>
        <w:contextualSpacing/>
        <w:jc w:val="both"/>
        <w:rPr>
          <w:rFonts w:ascii="AytoRoquetas Light Condensed" w:hAnsi="AytoRoquetas Light Condensed"/>
          <w:b/>
          <w:bCs/>
          <w:sz w:val="20"/>
          <w:szCs w:val="20"/>
        </w:rPr>
      </w:pPr>
      <w:r w:rsidRPr="00E2138D">
        <w:rPr>
          <w:rFonts w:ascii="AytoRoquetas Light Condensed" w:hAnsi="AytoRoquetas Light Condensed"/>
          <w:sz w:val="20"/>
          <w:szCs w:val="20"/>
        </w:rPr>
        <w:t xml:space="preserve">Por cuanto antecede y de conformidad con lo establecido en el artículo 11 de los Estatutos del CIAP (BOJA número 27 de 7 de febrero de 2013), el </w:t>
      </w:r>
      <w:proofErr w:type="gramStart"/>
      <w:r w:rsidRPr="00E2138D">
        <w:rPr>
          <w:rFonts w:ascii="AytoRoquetas Light Condensed" w:hAnsi="AytoRoquetas Light Condensed"/>
          <w:sz w:val="20"/>
          <w:szCs w:val="20"/>
        </w:rPr>
        <w:t>Presidente</w:t>
      </w:r>
      <w:proofErr w:type="gramEnd"/>
      <w:r w:rsidRPr="00E2138D">
        <w:rPr>
          <w:rFonts w:ascii="AytoRoquetas Light Condensed" w:hAnsi="AytoRoquetas Light Condensed"/>
          <w:sz w:val="20"/>
          <w:szCs w:val="20"/>
        </w:rPr>
        <w:t xml:space="preserve"> del Consorcio de Gestión de los Servicios Integrados de Abastecimiento de Aguas y Saneamiento del Poniente Almeriense eleva a la Junta General la siguiente </w:t>
      </w:r>
      <w:r w:rsidRPr="00E2138D">
        <w:rPr>
          <w:rFonts w:ascii="AytoRoquetas Light Condensed" w:hAnsi="AytoRoquetas Light Condensed"/>
          <w:b/>
          <w:bCs/>
          <w:sz w:val="20"/>
          <w:szCs w:val="20"/>
        </w:rPr>
        <w:t>PROPUESTA DE ACUERDO:</w:t>
      </w:r>
    </w:p>
    <w:p w14:paraId="0B88E1DA" w14:textId="77777777" w:rsidR="00537205" w:rsidRPr="00E2138D" w:rsidRDefault="00537205" w:rsidP="00537205">
      <w:pPr>
        <w:spacing w:line="288" w:lineRule="auto"/>
        <w:ind w:firstLine="709"/>
        <w:contextualSpacing/>
        <w:jc w:val="both"/>
        <w:rPr>
          <w:rFonts w:ascii="AytoRoquetas Light Condensed" w:hAnsi="AytoRoquetas Light Condensed"/>
          <w:b/>
          <w:bCs/>
          <w:sz w:val="20"/>
          <w:szCs w:val="20"/>
        </w:rPr>
      </w:pPr>
    </w:p>
    <w:p w14:paraId="1D4D294F"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b/>
          <w:bCs/>
          <w:sz w:val="20"/>
          <w:szCs w:val="20"/>
        </w:rPr>
        <w:t>1º.</w:t>
      </w:r>
      <w:r w:rsidRPr="00E2138D">
        <w:rPr>
          <w:rFonts w:ascii="AytoRoquetas Light Condensed" w:hAnsi="AytoRoquetas Light Condensed"/>
          <w:sz w:val="20"/>
          <w:szCs w:val="20"/>
        </w:rPr>
        <w:t xml:space="preserve">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34368F9F"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2C308B06"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b/>
          <w:bCs/>
          <w:sz w:val="20"/>
          <w:szCs w:val="20"/>
        </w:rPr>
        <w:t>2º.</w:t>
      </w:r>
      <w:r w:rsidRPr="00E2138D">
        <w:rPr>
          <w:rFonts w:ascii="AytoRoquetas Light Condensed" w:hAnsi="AytoRoquetas Light Condensed"/>
          <w:sz w:val="20"/>
          <w:szCs w:val="20"/>
        </w:rPr>
        <w:t xml:space="preserve"> Desestimar la revisión de las tarifas pretendida por UTE DEPURACIÓN PONIENTE ALMERIENSE SA al no existir motivo que la justifique.</w:t>
      </w:r>
    </w:p>
    <w:p w14:paraId="5D522ADD"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11A6C44D" w14:textId="104C752C" w:rsidR="00086D62" w:rsidRPr="003645B5" w:rsidRDefault="00537205" w:rsidP="00537205">
      <w:pPr>
        <w:spacing w:line="288" w:lineRule="auto"/>
        <w:ind w:firstLine="709"/>
        <w:contextualSpacing/>
        <w:jc w:val="both"/>
        <w:rPr>
          <w:rFonts w:ascii="AytoRoquetas Light Condensed" w:hAnsi="AytoRoquetas Light Condensed"/>
          <w:b/>
          <w:bCs/>
        </w:rPr>
      </w:pPr>
      <w:r w:rsidRPr="00E2138D">
        <w:rPr>
          <w:rFonts w:ascii="AytoRoquetas Light Condensed" w:hAnsi="AytoRoquetas Light Condensed"/>
          <w:b/>
          <w:bCs/>
          <w:sz w:val="20"/>
          <w:szCs w:val="20"/>
        </w:rPr>
        <w:t xml:space="preserve">3º. </w:t>
      </w:r>
      <w:r w:rsidRPr="00E2138D">
        <w:rPr>
          <w:rFonts w:ascii="AytoRoquetas Light Condensed" w:hAnsi="AytoRoquetas Light Condensed"/>
          <w:sz w:val="20"/>
          <w:szCs w:val="20"/>
        </w:rPr>
        <w:t>Notificar el presente acuerdo a UTE DEPURACIÓN PONIENTE ALMERIENSE SA, haciéndole saber de los medios de impugnación de los que dispone, así como de las circunstancias de tiempo, lugar y forma en que puede hacerlos valer.</w:t>
      </w:r>
      <w:r w:rsidR="00086D62" w:rsidRPr="003645B5">
        <w:rPr>
          <w:rFonts w:ascii="AytoRoquetas Light Condensed" w:hAnsi="AytoRoquetas Light Condensed"/>
          <w:b/>
          <w:bCs/>
        </w:rPr>
        <w:t>”</w:t>
      </w:r>
    </w:p>
    <w:p w14:paraId="45C56A7B" w14:textId="77777777" w:rsidR="00086D62" w:rsidRPr="003645B5" w:rsidRDefault="00086D62" w:rsidP="00086D62">
      <w:pPr>
        <w:pStyle w:val="Textoindependiente"/>
        <w:spacing w:line="288" w:lineRule="auto"/>
        <w:contextualSpacing/>
        <w:rPr>
          <w:rFonts w:ascii="AytoRoquetas Light Condensed" w:hAnsi="AytoRoquetas Light Condensed"/>
          <w:b w:val="0"/>
          <w:bCs/>
          <w:sz w:val="22"/>
          <w:lang w:val="es-ES"/>
        </w:rPr>
      </w:pPr>
    </w:p>
    <w:p w14:paraId="4192C67A" w14:textId="77777777" w:rsidR="00086D62" w:rsidRPr="003645B5" w:rsidRDefault="00086D62" w:rsidP="00086D62">
      <w:pPr>
        <w:pStyle w:val="Default"/>
        <w:spacing w:line="288" w:lineRule="auto"/>
        <w:ind w:firstLine="1134"/>
        <w:contextualSpacing/>
        <w:jc w:val="both"/>
        <w:rPr>
          <w:rFonts w:eastAsia="Georgia" w:cs="Georgia"/>
          <w:color w:val="auto"/>
          <w:sz w:val="22"/>
          <w:szCs w:val="22"/>
          <w:lang w:val="es-ES_tradnl"/>
        </w:rPr>
      </w:pPr>
      <w:r w:rsidRPr="003645B5">
        <w:rPr>
          <w:rFonts w:eastAsia="Georgia" w:cs="Georgia"/>
          <w:color w:val="auto"/>
          <w:sz w:val="22"/>
          <w:szCs w:val="22"/>
          <w:lang w:val="es-ES_tradnl"/>
        </w:rPr>
        <w:t xml:space="preserve">La JUNTA GENERAL ha resuelto aprobar la proposición en todos sus términos. </w:t>
      </w:r>
    </w:p>
    <w:p w14:paraId="36D50F56" w14:textId="77777777" w:rsidR="00086D62" w:rsidRPr="003645B5" w:rsidRDefault="00086D62" w:rsidP="00086D62">
      <w:pPr>
        <w:pStyle w:val="Textoindependiente"/>
        <w:spacing w:line="288" w:lineRule="auto"/>
        <w:contextualSpacing/>
        <w:rPr>
          <w:rFonts w:ascii="AytoRoquetas Light Condensed" w:hAnsi="AytoRoquetas Light Condensed"/>
          <w:b w:val="0"/>
          <w:bCs/>
          <w:sz w:val="22"/>
          <w:lang w:val="es-ES"/>
        </w:rPr>
      </w:pPr>
    </w:p>
    <w:p w14:paraId="253F6EC4" w14:textId="77777777"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26EC9FBD" w14:textId="45D4A9DE" w:rsidR="001B7028" w:rsidRPr="003645B5" w:rsidRDefault="001B7028" w:rsidP="00086D6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3645B5">
      <w:headerReference w:type="default" r:id="rId8"/>
      <w:footerReference w:type="default" r:id="rId9"/>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1"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2"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8030772">
    <w:abstractNumId w:val="0"/>
  </w:num>
  <w:num w:numId="2" w16cid:durableId="1619794789">
    <w:abstractNumId w:val="1"/>
  </w:num>
  <w:num w:numId="3" w16cid:durableId="1769427927">
    <w:abstractNumId w:val="2"/>
  </w:num>
  <w:num w:numId="4" w16cid:durableId="826364829">
    <w:abstractNumId w:val="6"/>
  </w:num>
  <w:num w:numId="5" w16cid:durableId="905068301">
    <w:abstractNumId w:val="4"/>
  </w:num>
  <w:num w:numId="6" w16cid:durableId="1493254677">
    <w:abstractNumId w:val="5"/>
  </w:num>
  <w:num w:numId="7" w16cid:durableId="1852914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82F70"/>
    <w:rsid w:val="00086CE9"/>
    <w:rsid w:val="00086D62"/>
    <w:rsid w:val="00122CBA"/>
    <w:rsid w:val="00170E73"/>
    <w:rsid w:val="001A725E"/>
    <w:rsid w:val="001B7028"/>
    <w:rsid w:val="001D5D29"/>
    <w:rsid w:val="0021394F"/>
    <w:rsid w:val="00221125"/>
    <w:rsid w:val="002A4E53"/>
    <w:rsid w:val="003645B5"/>
    <w:rsid w:val="00365163"/>
    <w:rsid w:val="00373889"/>
    <w:rsid w:val="004B7729"/>
    <w:rsid w:val="00537205"/>
    <w:rsid w:val="005D7CEB"/>
    <w:rsid w:val="00832717"/>
    <w:rsid w:val="008743DE"/>
    <w:rsid w:val="008761D5"/>
    <w:rsid w:val="00BF0BD7"/>
    <w:rsid w:val="00C96C71"/>
    <w:rsid w:val="00DC2C1A"/>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4336</Words>
  <Characters>22787</Characters>
  <Application>Microsoft Office Word</Application>
  <DocSecurity>0</DocSecurity>
  <Lines>189</Lines>
  <Paragraphs>54</Paragraphs>
  <ScaleCrop>false</ScaleCrop>
  <Company/>
  <LinksUpToDate>false</LinksUpToDate>
  <CharactersWithSpaces>27069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5</cp:revision>
  <dcterms:created xsi:type="dcterms:W3CDTF">2023-12-22T08:38:00Z</dcterms:created>
  <dcterms:modified xsi:type="dcterms:W3CDTF">2023-12-22T08:46:00Z</dcterms:modified>
</cp:coreProperties>
</file>