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E25D93" w:rsidRDefault="001B7028" w:rsidP="00086D62">
      <w:pPr>
        <w:pStyle w:val="Default"/>
        <w:spacing w:line="288" w:lineRule="auto"/>
        <w:contextualSpacing/>
        <w:jc w:val="both"/>
        <w:rPr>
          <w:color w:val="auto"/>
          <w:sz w:val="26"/>
          <w:szCs w:val="26"/>
        </w:rPr>
      </w:pPr>
      <w:r w:rsidRPr="00E25D93">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E25D93" w:rsidRDefault="001B7028" w:rsidP="00086D62">
      <w:pPr>
        <w:pStyle w:val="Default"/>
        <w:spacing w:line="288" w:lineRule="auto"/>
        <w:contextualSpacing/>
        <w:jc w:val="both"/>
        <w:rPr>
          <w:color w:val="auto"/>
          <w:sz w:val="22"/>
          <w:szCs w:val="22"/>
        </w:rPr>
      </w:pPr>
    </w:p>
    <w:p w14:paraId="4C593EA7" w14:textId="648E8C55" w:rsidR="001B7028" w:rsidRPr="00E25D93" w:rsidRDefault="001B7028" w:rsidP="00086D62">
      <w:pPr>
        <w:pStyle w:val="Default"/>
        <w:spacing w:line="288" w:lineRule="auto"/>
        <w:contextualSpacing/>
        <w:jc w:val="both"/>
        <w:rPr>
          <w:color w:val="auto"/>
          <w:sz w:val="22"/>
          <w:szCs w:val="22"/>
        </w:rPr>
      </w:pPr>
      <w:r w:rsidRPr="00E25D93">
        <w:rPr>
          <w:b/>
          <w:bCs/>
          <w:color w:val="auto"/>
          <w:sz w:val="22"/>
          <w:szCs w:val="22"/>
        </w:rPr>
        <w:t>CERTIFICO</w:t>
      </w:r>
      <w:r w:rsidRPr="00E25D93">
        <w:rPr>
          <w:color w:val="auto"/>
          <w:sz w:val="22"/>
          <w:szCs w:val="22"/>
        </w:rPr>
        <w:t xml:space="preserve">: Que la Junta General del Consorcio para la Gestión del Ciclo Integral del Agua de Uso Urbano del Poniente Almeriense en sesión extraordinaria </w:t>
      </w:r>
      <w:r w:rsidR="00C96C71" w:rsidRPr="00E25D93">
        <w:rPr>
          <w:color w:val="auto"/>
          <w:sz w:val="22"/>
          <w:szCs w:val="22"/>
        </w:rPr>
        <w:t xml:space="preserve">y urgente </w:t>
      </w:r>
      <w:r w:rsidRPr="00E25D93">
        <w:rPr>
          <w:color w:val="auto"/>
          <w:sz w:val="22"/>
          <w:szCs w:val="22"/>
        </w:rPr>
        <w:t xml:space="preserve">celebrada el </w:t>
      </w:r>
      <w:r w:rsidR="00C96C71" w:rsidRPr="00E25D93">
        <w:rPr>
          <w:color w:val="auto"/>
          <w:sz w:val="22"/>
          <w:szCs w:val="22"/>
        </w:rPr>
        <w:t>2</w:t>
      </w:r>
      <w:r w:rsidR="00373889" w:rsidRPr="00E25D93">
        <w:rPr>
          <w:color w:val="auto"/>
          <w:sz w:val="22"/>
          <w:szCs w:val="22"/>
        </w:rPr>
        <w:t>1</w:t>
      </w:r>
      <w:r w:rsidRPr="00E25D93">
        <w:rPr>
          <w:color w:val="auto"/>
          <w:sz w:val="22"/>
          <w:szCs w:val="22"/>
        </w:rPr>
        <w:t xml:space="preserve"> de diciembre de 2023, adoptó entre otros el Acuerdo del siguiente tenor literal: </w:t>
      </w:r>
    </w:p>
    <w:p w14:paraId="50B2FE9F" w14:textId="77777777" w:rsidR="00086D62" w:rsidRPr="00E25D93"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29121949" w14:textId="77777777" w:rsidR="00E25D93" w:rsidRPr="00E25D93" w:rsidRDefault="00E25D93" w:rsidP="00E25D93">
      <w:pPr>
        <w:spacing w:after="0" w:line="288" w:lineRule="auto"/>
        <w:jc w:val="both"/>
        <w:rPr>
          <w:rFonts w:ascii="AytoRoquetas Light Condensed" w:hAnsi="AytoRoquetas Light Condensed" w:cs="Arial"/>
          <w:b/>
          <w:bCs/>
        </w:rPr>
      </w:pPr>
      <w:r w:rsidRPr="00E25D93">
        <w:rPr>
          <w:rFonts w:ascii="AytoRoquetas Light Condensed" w:hAnsi="AytoRoquetas Light Condensed" w:cs="Arial"/>
          <w:b/>
          <w:bCs/>
        </w:rPr>
        <w:t>11º. APROBACIÓN inicial de la Cuenta General del 2022.</w:t>
      </w:r>
    </w:p>
    <w:p w14:paraId="3660BC25" w14:textId="77777777" w:rsidR="00E25D93" w:rsidRPr="00E25D93" w:rsidRDefault="00E25D93" w:rsidP="00E25D93">
      <w:pPr>
        <w:spacing w:after="0" w:line="288" w:lineRule="auto"/>
        <w:jc w:val="both"/>
        <w:rPr>
          <w:rFonts w:ascii="AytoRoquetas Light Condensed" w:hAnsi="AytoRoquetas Light Condensed" w:cs="Arial"/>
        </w:rPr>
      </w:pPr>
    </w:p>
    <w:p w14:paraId="3C2EC839" w14:textId="77777777" w:rsidR="00D50F61" w:rsidRPr="00C765D8" w:rsidRDefault="00D50F61" w:rsidP="00D50F61">
      <w:pPr>
        <w:pStyle w:val="FreeForm"/>
        <w:spacing w:line="276" w:lineRule="auto"/>
        <w:jc w:val="both"/>
        <w:rPr>
          <w:rFonts w:ascii="AytoRoquetas Light Condensed" w:hAnsi="AytoRoquetas Light Condensed"/>
          <w:b/>
          <w:color w:val="auto"/>
          <w:sz w:val="22"/>
          <w:szCs w:val="22"/>
          <w:lang w:val="es-ES_tradnl"/>
        </w:rPr>
      </w:pPr>
      <w:r w:rsidRPr="00C765D8">
        <w:rPr>
          <w:rFonts w:ascii="AytoRoquetas Light Condensed" w:eastAsiaTheme="minorHAnsi" w:hAnsi="AytoRoquetas Light Condensed" w:cs="AytoRoquetas Light Condensed"/>
          <w:color w:val="auto"/>
          <w:sz w:val="22"/>
          <w:szCs w:val="22"/>
        </w:rPr>
        <w:t>Se da cuenta del informe de la Intervención del Consorcio, de fecha 5 de mayo de 2023:</w:t>
      </w:r>
    </w:p>
    <w:p w14:paraId="69C40FFE" w14:textId="77777777" w:rsidR="00D50F61" w:rsidRPr="00C765D8" w:rsidRDefault="00D50F61" w:rsidP="00D50F61">
      <w:pPr>
        <w:pStyle w:val="FreeForm"/>
        <w:spacing w:line="276" w:lineRule="auto"/>
        <w:jc w:val="both"/>
        <w:rPr>
          <w:rFonts w:ascii="AytoRoquetas Light Condensed" w:hAnsi="AytoRoquetas Light Condensed"/>
          <w:bCs/>
          <w:color w:val="auto"/>
          <w:sz w:val="22"/>
          <w:szCs w:val="22"/>
          <w:lang w:val="es-ES_tradnl"/>
        </w:rPr>
      </w:pPr>
    </w:p>
    <w:p w14:paraId="21A66296" w14:textId="77777777" w:rsidR="00D50F61" w:rsidRPr="00C765D8" w:rsidRDefault="00D50F61" w:rsidP="00D50F61">
      <w:pPr>
        <w:jc w:val="both"/>
        <w:rPr>
          <w:rFonts w:ascii="AytoRoquetas Light Condensed" w:hAnsi="AytoRoquetas Light Condensed"/>
          <w:bCs/>
          <w:i/>
        </w:rPr>
      </w:pPr>
      <w:r w:rsidRPr="00C765D8">
        <w:rPr>
          <w:rFonts w:ascii="AytoRoquetas Light Condensed" w:hAnsi="AytoRoquetas Light Condensed"/>
          <w:bCs/>
          <w:i/>
        </w:rPr>
        <w:t>“FORMACIÓN</w:t>
      </w:r>
      <w:r w:rsidRPr="00C765D8">
        <w:rPr>
          <w:rFonts w:ascii="AytoRoquetas Light Condensed" w:hAnsi="AytoRoquetas Light Condensed"/>
          <w:bCs/>
          <w:i/>
          <w:spacing w:val="-13"/>
        </w:rPr>
        <w:t xml:space="preserve"> </w:t>
      </w:r>
      <w:r w:rsidRPr="00C765D8">
        <w:rPr>
          <w:rFonts w:ascii="AytoRoquetas Light Condensed" w:hAnsi="AytoRoquetas Light Condensed"/>
          <w:bCs/>
          <w:i/>
        </w:rPr>
        <w:t>DE</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LA</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CUENTA</w:t>
      </w:r>
      <w:r w:rsidRPr="00C765D8">
        <w:rPr>
          <w:rFonts w:ascii="AytoRoquetas Light Condensed" w:hAnsi="AytoRoquetas Light Condensed"/>
          <w:bCs/>
          <w:i/>
          <w:spacing w:val="-13"/>
        </w:rPr>
        <w:t xml:space="preserve"> </w:t>
      </w:r>
      <w:r w:rsidRPr="00C765D8">
        <w:rPr>
          <w:rFonts w:ascii="AytoRoquetas Light Condensed" w:hAnsi="AytoRoquetas Light Condensed"/>
          <w:bCs/>
          <w:i/>
        </w:rPr>
        <w:t>GENERAL</w:t>
      </w:r>
      <w:r w:rsidRPr="00C765D8">
        <w:rPr>
          <w:rFonts w:ascii="AytoRoquetas Light Condensed" w:hAnsi="AytoRoquetas Light Condensed"/>
          <w:bCs/>
          <w:i/>
          <w:spacing w:val="-11"/>
        </w:rPr>
        <w:t xml:space="preserve"> </w:t>
      </w:r>
      <w:r w:rsidRPr="00C765D8">
        <w:rPr>
          <w:rFonts w:ascii="AytoRoquetas Light Condensed" w:hAnsi="AytoRoquetas Light Condensed"/>
          <w:bCs/>
          <w:i/>
        </w:rPr>
        <w:t>DEL</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EJERCICIO</w:t>
      </w:r>
      <w:r w:rsidRPr="00C765D8">
        <w:rPr>
          <w:rFonts w:ascii="AytoRoquetas Light Condensed" w:hAnsi="AytoRoquetas Light Condensed"/>
          <w:bCs/>
          <w:i/>
          <w:spacing w:val="-10"/>
        </w:rPr>
        <w:t xml:space="preserve"> </w:t>
      </w:r>
      <w:r w:rsidRPr="00C765D8">
        <w:rPr>
          <w:rFonts w:ascii="AytoRoquetas Light Condensed" w:hAnsi="AytoRoquetas Light Condensed"/>
          <w:bCs/>
          <w:i/>
          <w:spacing w:val="-4"/>
        </w:rPr>
        <w:t>2022</w:t>
      </w:r>
    </w:p>
    <w:p w14:paraId="0720C9C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FE943A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Dña. Dolores del Pilar González Espinosa, Interventora del Consorcio para la gestión de los servicios integrados de abastecimiento de agua y saneamiento de los Municipios del Poniente Almeriense, en cumplimento de lo dispuesto</w:t>
      </w:r>
    </w:p>
    <w:p w14:paraId="02D593F9" w14:textId="77777777" w:rsidR="00D50F61" w:rsidRPr="00C765D8" w:rsidRDefault="00D50F61" w:rsidP="00D50F61">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INFORMA</w:t>
      </w:r>
    </w:p>
    <w:p w14:paraId="569A684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CA08905" w14:textId="77777777" w:rsidR="00D50F61" w:rsidRPr="002E5360" w:rsidRDefault="00D50F61" w:rsidP="00D50F61">
      <w:pPr>
        <w:jc w:val="both"/>
        <w:rPr>
          <w:rFonts w:ascii="AytoRoquetas Light Condensed" w:hAnsi="AytoRoquetas Light Condensed"/>
          <w:bCs/>
          <w:i/>
        </w:rPr>
      </w:pPr>
      <w:r w:rsidRPr="002E5360">
        <w:rPr>
          <w:rFonts w:ascii="AytoRoquetas Light Condensed" w:hAnsi="AytoRoquetas Light Condensed"/>
          <w:bCs/>
          <w:i/>
        </w:rPr>
        <w:t>I.-</w:t>
      </w:r>
      <w:r w:rsidRPr="002E5360">
        <w:rPr>
          <w:rFonts w:ascii="AytoRoquetas Light Condensed" w:hAnsi="AytoRoquetas Light Condensed"/>
          <w:bCs/>
          <w:i/>
          <w:spacing w:val="-16"/>
        </w:rPr>
        <w:t xml:space="preserve"> </w:t>
      </w:r>
      <w:r w:rsidRPr="002E5360">
        <w:rPr>
          <w:rFonts w:ascii="AytoRoquetas Light Condensed" w:hAnsi="AytoRoquetas Light Condensed"/>
          <w:bCs/>
          <w:i/>
        </w:rPr>
        <w:t>ANTECEDENTES</w:t>
      </w:r>
      <w:r w:rsidRPr="002E5360">
        <w:rPr>
          <w:rFonts w:ascii="AytoRoquetas Light Condensed" w:hAnsi="AytoRoquetas Light Condensed"/>
          <w:bCs/>
          <w:i/>
          <w:spacing w:val="-13"/>
        </w:rPr>
        <w:t xml:space="preserve"> </w:t>
      </w:r>
      <w:r w:rsidRPr="002E5360">
        <w:rPr>
          <w:rFonts w:ascii="AytoRoquetas Light Condensed" w:hAnsi="AytoRoquetas Light Condensed"/>
          <w:bCs/>
          <w:i/>
        </w:rPr>
        <w:t>DE</w:t>
      </w:r>
      <w:r w:rsidRPr="002E5360">
        <w:rPr>
          <w:rFonts w:ascii="AytoRoquetas Light Condensed" w:hAnsi="AytoRoquetas Light Condensed"/>
          <w:bCs/>
          <w:i/>
          <w:spacing w:val="-14"/>
        </w:rPr>
        <w:t xml:space="preserve"> </w:t>
      </w:r>
      <w:r w:rsidRPr="002E5360">
        <w:rPr>
          <w:rFonts w:ascii="AytoRoquetas Light Condensed" w:hAnsi="AytoRoquetas Light Condensed"/>
          <w:bCs/>
          <w:i/>
          <w:spacing w:val="-2"/>
        </w:rPr>
        <w:t>HECHO</w:t>
      </w:r>
    </w:p>
    <w:p w14:paraId="35B5925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1BC8B8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9422F3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B19EAAE"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Al día de la fecha no se encuentra constituido el Consejo de Participación Social por lo que habrá de ser la Junta General del Consorcio quien examine las cuentas, se expongan a información pública y posteriormente apruebe las </w:t>
      </w:r>
      <w:r w:rsidRPr="00C765D8">
        <w:rPr>
          <w:rFonts w:ascii="AytoRoquetas Light Condensed" w:hAnsi="AytoRoquetas Light Condensed"/>
          <w:b w:val="0"/>
          <w:bCs/>
          <w:i/>
          <w:spacing w:val="-2"/>
          <w:sz w:val="22"/>
          <w:lang w:val="es-ES"/>
        </w:rPr>
        <w:t>mismas.</w:t>
      </w:r>
    </w:p>
    <w:p w14:paraId="3C4CFAA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0392359"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Presidencia de 10 de febrero de 2023, esta Intervención, 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 xml:space="preserve">conformidad con lo establecido en el artículo 200.1 del Texto Refundido de la Ley </w:t>
      </w:r>
      <w:r w:rsidRPr="00C765D8">
        <w:rPr>
          <w:rFonts w:ascii="AytoRoquetas Light Condensed" w:hAnsi="AytoRoquetas Light Condensed"/>
          <w:b w:val="0"/>
          <w:bCs/>
          <w:i/>
          <w:sz w:val="22"/>
          <w:lang w:val="es-ES"/>
        </w:rPr>
        <w:lastRenderedPageBreak/>
        <w:t>Reguladora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Haciendas Locales, aprobado por Real Decreto Legislativo 2/2004, de 5 de marzo, y en la Regla 47 de la Orden HAP/1781/2013, de 20 de septiembre, por la que se aprueba la Instrucción del Modelo Normal de Contabilidad Local, y a efectos</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rendición</w:t>
      </w:r>
      <w:r w:rsidRPr="00C765D8">
        <w:rPr>
          <w:rFonts w:ascii="AytoRoquetas Light Condensed" w:hAnsi="AytoRoquetas Light Condensed"/>
          <w:b w:val="0"/>
          <w:bCs/>
          <w:i/>
          <w:spacing w:val="62"/>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citada</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cuenta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60"/>
          <w:sz w:val="22"/>
          <w:lang w:val="es-ES"/>
        </w:rPr>
        <w:t xml:space="preserve"> </w:t>
      </w:r>
      <w:r w:rsidRPr="00C765D8">
        <w:rPr>
          <w:rFonts w:ascii="AytoRoquetas Light Condensed" w:hAnsi="AytoRoquetas Light Condensed"/>
          <w:b w:val="0"/>
          <w:bCs/>
          <w:i/>
          <w:sz w:val="22"/>
          <w:lang w:val="es-ES"/>
        </w:rPr>
        <w:t>parte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Presidenta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z w:val="22"/>
        </w:rPr>
        <w:t xml:space="preserve"> </w:t>
      </w:r>
      <w:r w:rsidRPr="00C765D8">
        <w:rPr>
          <w:rFonts w:ascii="AytoRoquetas Light Condensed" w:hAnsi="AytoRoquetas Light Condensed"/>
          <w:b w:val="0"/>
          <w:bCs/>
          <w:i/>
          <w:sz w:val="22"/>
          <w:lang w:val="es-ES"/>
        </w:rPr>
        <w:t>Corporación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ante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Junta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General,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estudio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dictamen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posterior aprobación, emite el presente</w:t>
      </w:r>
    </w:p>
    <w:p w14:paraId="5B0DF422"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15B9E48" w14:textId="77777777" w:rsidR="00D50F61" w:rsidRPr="00C765D8" w:rsidRDefault="00D50F61" w:rsidP="00D50F61">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INFORME</w:t>
      </w:r>
    </w:p>
    <w:p w14:paraId="72D4198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DE3528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Legislación</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aplicable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pacing w:val="-2"/>
          <w:sz w:val="22"/>
          <w:lang w:val="es-ES"/>
        </w:rPr>
        <w:t>siguiente:</w:t>
      </w:r>
    </w:p>
    <w:p w14:paraId="24E24888"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8055F6D"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22.2 e) y 116 de la Ley 7/1985, de 2 de abril, Reguladora de las Bases del Régimen Local.</w:t>
      </w:r>
    </w:p>
    <w:p w14:paraId="212AA028"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Ley 40/2015, de 1 de octubre, de Régimen Jurídico del Sector </w:t>
      </w:r>
      <w:r w:rsidRPr="00C765D8">
        <w:rPr>
          <w:rFonts w:ascii="AytoRoquetas Light Condensed" w:hAnsi="AytoRoquetas Light Condensed"/>
          <w:bCs/>
          <w:i/>
          <w:spacing w:val="-2"/>
          <w:sz w:val="22"/>
        </w:rPr>
        <w:t>Público.</w:t>
      </w:r>
    </w:p>
    <w:p w14:paraId="7B4EE3E9"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208 a 212 del Texto Refundido de la Ley Reguladora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las Haciendas Locales aprobado por Real Decreto Legislativo 2/2004, de 5 de marzo.</w:t>
      </w:r>
    </w:p>
    <w:p w14:paraId="1C8A697E"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El artículo 119.3 de la Ley 47/2003, de 26 de noviembre, General </w:t>
      </w:r>
      <w:r w:rsidRPr="00C765D8">
        <w:rPr>
          <w:rFonts w:ascii="AytoRoquetas Light Condensed" w:hAnsi="AytoRoquetas Light Condensed"/>
          <w:bCs/>
          <w:i/>
          <w:spacing w:val="-2"/>
          <w:sz w:val="22"/>
        </w:rPr>
        <w:t>Presupuestaria.</w:t>
      </w:r>
    </w:p>
    <w:p w14:paraId="04FDC664"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Las Reglas 44 y siguientes de la Orden HAP/1781/2013, de 20 de septiembre, por la que se aprueba la Instrucción del Modelo Normal de Contabilidad Local.</w:t>
      </w:r>
    </w:p>
    <w:p w14:paraId="16B0A5F9"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 de 28 de julio de 2006, de la Intervención General de la Administración del Estado, por la que se recomienda un formato normalizado de la cuenta general de las entidades locales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soporte informático que facilite su rendición.</w:t>
      </w:r>
    </w:p>
    <w:p w14:paraId="11DC0B6A" w14:textId="77777777" w:rsidR="00D50F61" w:rsidRPr="00C765D8" w:rsidRDefault="00D50F61" w:rsidP="00D50F61">
      <w:pPr>
        <w:pStyle w:val="Prrafodelista"/>
        <w:numPr>
          <w:ilvl w:val="0"/>
          <w:numId w:val="15"/>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Orden</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EHA/3565/2008,</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3</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diciembre,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por</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que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se</w:t>
      </w:r>
      <w:r w:rsidRPr="00C765D8">
        <w:rPr>
          <w:rFonts w:ascii="AytoRoquetas Light Condensed" w:hAnsi="AytoRoquetas Light Condensed"/>
          <w:bCs/>
          <w:i/>
          <w:spacing w:val="-2"/>
          <w:sz w:val="22"/>
        </w:rPr>
        <w:t xml:space="preserve"> Aprueba</w:t>
      </w:r>
    </w:p>
    <w:p w14:paraId="41AE9FB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Estructura de los Presupuestos de las Entidades Locales, modificada por la Orden HAP/419/2014, de 14 de marzo.</w:t>
      </w:r>
    </w:p>
    <w:p w14:paraId="633166B9" w14:textId="77777777" w:rsidR="00D50F61" w:rsidRPr="00C765D8" w:rsidRDefault="00D50F61" w:rsidP="00D50F61">
      <w:pPr>
        <w:pStyle w:val="Prrafodelista"/>
        <w:numPr>
          <w:ilvl w:val="0"/>
          <w:numId w:val="15"/>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13</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abril</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2015,</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Presidencia</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pacing w:val="-2"/>
          <w:sz w:val="22"/>
        </w:rPr>
        <w:t>Cámara</w:t>
      </w:r>
    </w:p>
    <w:p w14:paraId="793EB918"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764FD184"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Convenio de 21 de abril de 2015, entre la Cámara de Cuentas de Andalucía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75"/>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Tribunal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para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coordinación</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rPr>
        <w:t xml:space="preserve"> </w:t>
      </w:r>
      <w:r w:rsidRPr="00C765D8">
        <w:rPr>
          <w:rFonts w:ascii="AytoRoquetas Light Condensed" w:hAnsi="AytoRoquetas Light Condensed"/>
          <w:bCs/>
          <w:i/>
          <w:sz w:val="22"/>
        </w:rPr>
        <w:t>rendición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telemática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Generales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entidades locales andaluzas.</w:t>
      </w:r>
    </w:p>
    <w:p w14:paraId="6F25A24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1CF31D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El artículo 200.1 del Real Decreto Legislativo 2/2004, de 5 de marzo, por el que se aprueba el Texto Refundido de la Ley Reguladora de las Haciendas Locales, establece que las Entidades Locales y sus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w:t>
      </w:r>
      <w:r w:rsidRPr="00C765D8">
        <w:rPr>
          <w:rFonts w:ascii="AytoRoquetas Light Condensed" w:hAnsi="AytoRoquetas Light Condensed"/>
          <w:b w:val="0"/>
          <w:bCs/>
          <w:i/>
          <w:spacing w:val="-2"/>
          <w:sz w:val="22"/>
          <w:lang w:val="es-ES"/>
        </w:rPr>
        <w:t>Cuentas”.</w:t>
      </w:r>
    </w:p>
    <w:p w14:paraId="54B8F4C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56935C0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w:t>
      </w:r>
      <w:r w:rsidRPr="00C765D8">
        <w:rPr>
          <w:rFonts w:ascii="AytoRoquetas Light Condensed" w:hAnsi="AytoRoquetas Light Condensed"/>
          <w:b w:val="0"/>
          <w:bCs/>
          <w:i/>
          <w:spacing w:val="-2"/>
          <w:sz w:val="22"/>
          <w:lang w:val="es-ES"/>
        </w:rPr>
        <w:t>General.</w:t>
      </w:r>
    </w:p>
    <w:p w14:paraId="6E3F057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2C15630"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TERCERO. De conformidad con el artículo 122 LRJSP, los consorcios estarán sujetos al régimen de presupuestación, contabilidad y control de la Administración Pública a la que estén adscritos, sin perjuicio de su sujeción 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en la cuenta general de la Administración Pública de adscripción, conforme al apartado cuarto del artículo 122 LRJSP.</w:t>
      </w:r>
    </w:p>
    <w:p w14:paraId="4E142C8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6FC2C20"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4335C19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0514C6D"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SEXTO. Las cuentas anuales que integran la Cuenta de la propia entidad son las siguientes:</w:t>
      </w:r>
    </w:p>
    <w:p w14:paraId="49EDA16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C55C1EA"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pacing w:val="-2"/>
          <w:sz w:val="22"/>
        </w:rPr>
        <w:t>Balance.</w:t>
      </w:r>
    </w:p>
    <w:p w14:paraId="40FCF989"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13"/>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resultado</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económico-</w:t>
      </w:r>
      <w:r w:rsidRPr="00C765D8">
        <w:rPr>
          <w:rFonts w:ascii="AytoRoquetas Light Condensed" w:hAnsi="AytoRoquetas Light Condensed"/>
          <w:bCs/>
          <w:i/>
          <w:spacing w:val="-2"/>
          <w:sz w:val="22"/>
        </w:rPr>
        <w:t>patrimonial.</w:t>
      </w:r>
    </w:p>
    <w:p w14:paraId="43FDDA35" w14:textId="77777777" w:rsidR="00D50F61" w:rsidRPr="00C765D8" w:rsidRDefault="00D50F61" w:rsidP="00D50F61">
      <w:pPr>
        <w:pStyle w:val="Prrafodelista"/>
        <w:numPr>
          <w:ilvl w:val="0"/>
          <w:numId w:val="14"/>
        </w:numPr>
        <w:tabs>
          <w:tab w:val="left" w:pos="108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cambios</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patrimonio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pacing w:val="-4"/>
          <w:sz w:val="22"/>
        </w:rPr>
        <w:t>neto.</w:t>
      </w:r>
    </w:p>
    <w:p w14:paraId="7CA8EA22"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flujos</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efectivo.</w:t>
      </w:r>
    </w:p>
    <w:p w14:paraId="772B141B"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Liquidación</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pacing w:val="-2"/>
          <w:sz w:val="22"/>
        </w:rPr>
        <w:t>Presupuesto.</w:t>
      </w:r>
    </w:p>
    <w:p w14:paraId="4AAF5674" w14:textId="77777777" w:rsidR="00D50F61" w:rsidRPr="00C765D8" w:rsidRDefault="00D50F61" w:rsidP="00D50F61">
      <w:pPr>
        <w:pStyle w:val="Prrafodelista"/>
        <w:numPr>
          <w:ilvl w:val="0"/>
          <w:numId w:val="14"/>
        </w:numPr>
        <w:tabs>
          <w:tab w:val="left" w:pos="103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Memoria.</w:t>
      </w:r>
    </w:p>
    <w:p w14:paraId="439489B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47408B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 las cuentas anuales del Consorcio deberá unirse la siguiente </w:t>
      </w:r>
      <w:r w:rsidRPr="00C765D8">
        <w:rPr>
          <w:rFonts w:ascii="AytoRoquetas Light Condensed" w:hAnsi="AytoRoquetas Light Condensed"/>
          <w:b w:val="0"/>
          <w:bCs/>
          <w:i/>
          <w:spacing w:val="-2"/>
          <w:sz w:val="22"/>
          <w:lang w:val="es-ES"/>
        </w:rPr>
        <w:t>documentación:</w:t>
      </w:r>
    </w:p>
    <w:p w14:paraId="627E7EF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29DA8016"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Actas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arqueo</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existencias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Caja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referidas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fin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 xml:space="preserve">de </w:t>
      </w:r>
      <w:r w:rsidRPr="00C765D8">
        <w:rPr>
          <w:rFonts w:ascii="AytoRoquetas Light Condensed" w:hAnsi="AytoRoquetas Light Condensed"/>
          <w:bCs/>
          <w:i/>
          <w:spacing w:val="-2"/>
          <w:sz w:val="22"/>
        </w:rPr>
        <w:t>ejercicio.</w:t>
      </w:r>
    </w:p>
    <w:p w14:paraId="3E708D1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EE218B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Acta de arqueo sólo ha de incluir las existencias en Caja a fin de ejercicio, y su comprobación con los datos que arroja la contabilidad. No forman parte del Acta de Arqueo las existencias en cuentas abiertas en entidades de crédito.</w:t>
      </w:r>
    </w:p>
    <w:p w14:paraId="42DB8232"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Esta Intervención ha verificado que el arqueo aportado refleja el recuento del efectivo real en caja y su comprobación con los datos extraídos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oportuno estado conciliatorio.</w:t>
      </w:r>
    </w:p>
    <w:p w14:paraId="7A1E7DE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ED1A4B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SÉPTIMO. La</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aprobación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la Cuenta General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acto esencial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para la fiscalización por parte de los órganos de control externo y que no requiere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conformidad de los obligados a su rendición, y que no genera responsabilidad por razón de las mismas, en base a la Regla 50 de la de la Orden HAP/1781/2013, de 20 de septiembre, por la que se aprueba la Instrucción del Modelo Normal de Contabilidad Local.</w:t>
      </w:r>
    </w:p>
    <w:p w14:paraId="4BA8121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9CBA719"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OCTAVO. Se adjunta al presente informe de Intervención, el Balance, la Cuenta del Resultado económico-patrimonial, el Estado de cambios en el patrimonio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neto,</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flujos</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efectivo,</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liquidación</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pacing w:val="-5"/>
          <w:sz w:val="22"/>
          <w:lang w:val="es-ES"/>
        </w:rPr>
        <w:t>del</w:t>
      </w:r>
    </w:p>
    <w:p w14:paraId="64D6254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660DB4E"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Presupuesto y la Memoria, según los Modelos y con el contenido regulado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 Tercera parte «Cuentas Anuales» del Anexo de la Orden HAP/1781/2013,</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20 de septiembre, por la que se aprueba la Instrucción del Modelo Normal de Contabilidad Local.</w:t>
      </w:r>
    </w:p>
    <w:p w14:paraId="4CC9EFE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A04CC4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Conforme a lo establecido en la REGLA 48.1 C) de la Orden HAP/1781/2013, de 20 de septiembre, por la que se aprueba la Instrucción del modelo normal de contabilidad local, a la Cuenta General se acompañarán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“Las cuentas anuales de aquellas unidades dependientes de la entidad local incluidas en el ámbito de aplicación de la Ley orgánica 2/2012, de 27 de abril, de Estabilidad Presupuestaria y Sostenibilidad Financiera”.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Se deberá remitir una vez aprobada definitivamente la Cuenta General del Consorcio al Ayuntamiento de Roquetas de Mar, para completar y remitir a la Cámara de </w:t>
      </w:r>
      <w:r w:rsidRPr="00C765D8">
        <w:rPr>
          <w:rFonts w:ascii="AytoRoquetas Light Condensed" w:hAnsi="AytoRoquetas Light Condensed"/>
          <w:b w:val="0"/>
          <w:bCs/>
          <w:i/>
          <w:spacing w:val="-2"/>
          <w:sz w:val="22"/>
          <w:lang w:val="es-ES"/>
        </w:rPr>
        <w:t>Cuentas.</w:t>
      </w:r>
    </w:p>
    <w:p w14:paraId="251DA07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CA141E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DÉCIMO. Una vez formada y analizada la Cuenta General del ejercicio 2022, se procede al análisis y evaluación de las conclusiones y recomendaciones, de forma que se lleve a cabo una planificación del trabajo a realizar para implementar dichas recomendaciones.</w:t>
      </w:r>
    </w:p>
    <w:p w14:paraId="516A2AD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0FB2225" w14:textId="77777777" w:rsidR="00D50F61" w:rsidRPr="00C765D8" w:rsidRDefault="00D50F61" w:rsidP="00D50F61">
      <w:pPr>
        <w:pStyle w:val="Prrafodelista"/>
        <w:numPr>
          <w:ilvl w:val="0"/>
          <w:numId w:val="13"/>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deberán remitir al Ayuntamiento de Roquetas de Mar una vez aprobada la Cuenta General para su incorporación y remisión a la Cámara de Cuentas-</w:t>
      </w:r>
    </w:p>
    <w:p w14:paraId="6D59D8AE"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2ADA7323"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un inventario de bienes, lo cual impide</w:t>
      </w:r>
      <w:r w:rsidRPr="00C765D8">
        <w:rPr>
          <w:rFonts w:ascii="AytoRoquetas Light Condensed" w:hAnsi="AytoRoquetas Light Condensed"/>
          <w:bCs/>
          <w:i/>
          <w:spacing w:val="80"/>
          <w:sz w:val="22"/>
        </w:rPr>
        <w:t xml:space="preserve"> </w:t>
      </w:r>
      <w:r w:rsidRPr="00C765D8">
        <w:rPr>
          <w:rFonts w:ascii="AytoRoquetas Light Condensed" w:hAnsi="AytoRoquetas Light Condensed"/>
          <w:bCs/>
          <w:i/>
          <w:sz w:val="22"/>
        </w:rPr>
        <w:t xml:space="preserve">un adecuado registro contable del área de inmovilizado, al no poderse identificar, ni valorar los bienes y derechos que posee el </w:t>
      </w:r>
      <w:r w:rsidRPr="00C765D8">
        <w:rPr>
          <w:rFonts w:ascii="AytoRoquetas Light Condensed" w:hAnsi="AytoRoquetas Light Condensed"/>
          <w:bCs/>
          <w:i/>
          <w:spacing w:val="-2"/>
          <w:sz w:val="22"/>
        </w:rPr>
        <w:t>Consorcio.</w:t>
      </w:r>
    </w:p>
    <w:p w14:paraId="197FDD29"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posee más ingresos que los de carácter patrimonial procedentes del canon que las propias concesionarias abonan; asimismo se ha de concluir que las ordenanzas de ingresos, que están siendo aplicadas no tienen un seguimiento adecuado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cuanto a la recaudación obtenida por parte de las diferentes entidades consorciadas en sus respectivos ámbitos.</w:t>
      </w:r>
    </w:p>
    <w:p w14:paraId="5954206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B6BACDE"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eficacia y</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eficiencia</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gasto público la creación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una Entidad que no posee recursos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para cumplir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sus fines, por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lo que se recomienda su transformación en Mancomunidad que preste los servicios de los tres Consorcios adscritos a este Ayuntamiento, tal como se recomienda mediante Decreto de 30 de junio de 2020, del Sr.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Alcalde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Roquetas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Mar,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notificado</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Presidentes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cada de los tres Consorcios, extremo éste que ya fue puesto de manifiesto por</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Intervención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motivo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aprobación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General del Consorcio correspondiente a los ejercicios 2020 y 2021.</w:t>
      </w:r>
    </w:p>
    <w:p w14:paraId="3CD382E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95107D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base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 lo expuesto,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desde la Intervención Municipal, como órgano de fiscalización interno de la gestión económico-financiera y presupuestaria, y una vez que ha sido examinada la Cuenta General, se emite este informe con las incidencias observadas y manifestadas en el mismo.</w:t>
      </w:r>
    </w:p>
    <w:p w14:paraId="54A5D67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921382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Asimismo,</w:t>
      </w:r>
      <w:r w:rsidRPr="00C765D8">
        <w:rPr>
          <w:rFonts w:ascii="AytoRoquetas Light Condensed" w:hAnsi="AytoRoquetas Light Condensed"/>
          <w:b w:val="0"/>
          <w:bCs/>
          <w:i/>
          <w:spacing w:val="-13"/>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necesario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concluir:</w:t>
      </w:r>
    </w:p>
    <w:p w14:paraId="0A74B88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AD77333" w14:textId="77777777" w:rsidR="00D50F61" w:rsidRPr="00C765D8" w:rsidRDefault="00D50F61" w:rsidP="00D50F61">
      <w:pPr>
        <w:pStyle w:val="Prrafodelista"/>
        <w:numPr>
          <w:ilvl w:val="1"/>
          <w:numId w:val="13"/>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 se remiten todos los Estados Contables y la documentación complementaria exigidas por la normativa vigente.</w:t>
      </w:r>
    </w:p>
    <w:p w14:paraId="766B3DCC" w14:textId="77777777" w:rsidR="00D50F61" w:rsidRPr="00C765D8" w:rsidRDefault="00D50F61" w:rsidP="00D50F61">
      <w:pPr>
        <w:pStyle w:val="Prrafodelista"/>
        <w:numPr>
          <w:ilvl w:val="1"/>
          <w:numId w:val="13"/>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expedientes,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documentos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libros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mencionados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Título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II de la Instrucción de Contabilidad se encuentran a disposición del Tribunal de Cuentas.</w:t>
      </w:r>
    </w:p>
    <w:p w14:paraId="0B2EA5E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79EA2CD" w14:textId="77777777" w:rsidR="00D50F61" w:rsidRPr="002E5360" w:rsidRDefault="00D50F61" w:rsidP="00D50F61">
      <w:pPr>
        <w:jc w:val="both"/>
        <w:rPr>
          <w:rFonts w:ascii="AytoRoquetas Light Condensed" w:hAnsi="AytoRoquetas Light Condensed"/>
          <w:bCs/>
          <w:i/>
        </w:rPr>
      </w:pPr>
      <w:r w:rsidRPr="002E5360">
        <w:rPr>
          <w:rFonts w:ascii="AytoRoquetas Light Condensed" w:hAnsi="AytoRoquetas Light Condensed"/>
          <w:bCs/>
          <w:i/>
        </w:rPr>
        <w:t>En virtud de todo lo expuesto en este Informe, procede tramitar las Cuenta General del Consorcio correspondientes al ejercicio 2021.</w:t>
      </w:r>
    </w:p>
    <w:p w14:paraId="3BD841D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262340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 cuanto tengo el honor de informar, sin perjuicio de cualquier otra consideración mejor fundada en derecho.</w:t>
      </w:r>
      <w:r w:rsidRPr="00C765D8">
        <w:rPr>
          <w:rFonts w:ascii="AytoRoquetas Light Condensed" w:hAnsi="AytoRoquetas Light Condensed"/>
          <w:bCs/>
          <w:i/>
          <w:sz w:val="22"/>
        </w:rPr>
        <w:t>”</w:t>
      </w:r>
    </w:p>
    <w:p w14:paraId="3C741FAE" w14:textId="77777777" w:rsidR="00D50F61" w:rsidRPr="00C765D8" w:rsidRDefault="00D50F61" w:rsidP="00D50F61">
      <w:pPr>
        <w:pStyle w:val="Textoindependiente"/>
        <w:spacing w:line="276" w:lineRule="auto"/>
        <w:rPr>
          <w:rFonts w:ascii="AytoRoquetas Light Condensed" w:hAnsi="AytoRoquetas Light Condensed"/>
          <w:b w:val="0"/>
          <w:bCs/>
          <w:iCs/>
          <w:sz w:val="22"/>
          <w:lang w:val="es-ES"/>
        </w:rPr>
      </w:pPr>
    </w:p>
    <w:p w14:paraId="4DF03658" w14:textId="77777777" w:rsidR="00D50F61" w:rsidRPr="00C765D8" w:rsidRDefault="00D50F61" w:rsidP="00D50F6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Cs/>
          <w:color w:val="auto"/>
          <w:szCs w:val="24"/>
        </w:rPr>
      </w:pPr>
    </w:p>
    <w:p w14:paraId="1361A989" w14:textId="77777777" w:rsidR="00D50F61" w:rsidRPr="00C765D8" w:rsidRDefault="00D50F61" w:rsidP="00D50F6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Cs w:val="24"/>
        </w:rPr>
      </w:pPr>
      <w:r w:rsidRPr="00C765D8">
        <w:rPr>
          <w:rFonts w:ascii="AytoRoquetas Light Condensed" w:hAnsi="AytoRoquetas Light Condensed"/>
          <w:color w:val="auto"/>
          <w:szCs w:val="24"/>
        </w:rPr>
        <w:t>Vista la Cuenta del ejercicio 2022 formada por Intervención del Consorcio y sus documentos anexos, así como el informe emitido por la misma.</w:t>
      </w:r>
    </w:p>
    <w:p w14:paraId="24B19EE6" w14:textId="77777777" w:rsidR="00D50F61" w:rsidRPr="00C765D8" w:rsidRDefault="00D50F61" w:rsidP="00D50F61">
      <w:pPr>
        <w:pStyle w:val="Textodebloque"/>
        <w:spacing w:after="0" w:line="276" w:lineRule="auto"/>
        <w:ind w:left="0" w:right="0" w:firstLine="0"/>
        <w:rPr>
          <w:rFonts w:ascii="AytoRoquetas Light Condensed" w:hAnsi="AytoRoquetas Light Condensed"/>
          <w:color w:val="auto"/>
          <w:sz w:val="22"/>
        </w:rPr>
      </w:pPr>
    </w:p>
    <w:p w14:paraId="4D29A4E3" w14:textId="77777777" w:rsidR="00D50F61" w:rsidRPr="00E25D93" w:rsidRDefault="00D50F61" w:rsidP="00D50F61">
      <w:pPr>
        <w:pStyle w:val="Textodebloque"/>
        <w:spacing w:after="0" w:line="276" w:lineRule="auto"/>
        <w:ind w:left="0" w:right="0" w:firstLine="0"/>
        <w:rPr>
          <w:rFonts w:ascii="AytoRoquetas Light Condensed" w:hAnsi="AytoRoquetas Light Condensed"/>
        </w:rPr>
      </w:pPr>
      <w:r w:rsidRPr="00C765D8">
        <w:rPr>
          <w:rFonts w:ascii="AytoRoquetas Light Condensed" w:hAnsi="AytoRoquetas Light Condensed"/>
          <w:color w:val="auto"/>
          <w:sz w:val="22"/>
        </w:rPr>
        <w:t xml:space="preserve">De acuerdo con el contenido de los artículos 200 y siguientes del Texto Refundido de la Ley Reguladora de las Haciendas Locales aprobado por Real Decreto Legislativo 2/2004, la </w:t>
      </w:r>
      <w:r w:rsidRPr="00E25D93">
        <w:rPr>
          <w:rFonts w:ascii="AytoRoquetas Light Condensed" w:hAnsi="AytoRoquetas Light Condensed"/>
        </w:rPr>
        <w:t>JUNTA GENERAL ha resuelto:</w:t>
      </w:r>
    </w:p>
    <w:p w14:paraId="51A76F4E"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p>
    <w:p w14:paraId="1F65F12F"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r w:rsidRPr="00E25D93">
        <w:rPr>
          <w:rFonts w:ascii="AytoRoquetas Light Condensed" w:hAnsi="AytoRoquetas Light Condensed"/>
          <w:b/>
          <w:bCs/>
          <w:color w:val="auto"/>
          <w:sz w:val="22"/>
          <w:szCs w:val="22"/>
        </w:rPr>
        <w:t>Primero</w:t>
      </w:r>
      <w:r w:rsidRPr="00E25D93">
        <w:rPr>
          <w:rFonts w:ascii="AytoRoquetas Light Condensed" w:hAnsi="AytoRoquetas Light Condensed"/>
          <w:color w:val="auto"/>
          <w:sz w:val="22"/>
          <w:szCs w:val="22"/>
        </w:rPr>
        <w:t>.- APROBAR INICIALMENTE la Cuenta General 2022.</w:t>
      </w:r>
    </w:p>
    <w:p w14:paraId="24E2567E"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p>
    <w:p w14:paraId="1A1CDF04" w14:textId="77777777" w:rsidR="00D50F61" w:rsidRPr="00E25D93" w:rsidRDefault="00D50F61" w:rsidP="00D50F61">
      <w:pPr>
        <w:spacing w:after="0" w:line="288" w:lineRule="auto"/>
        <w:jc w:val="both"/>
        <w:rPr>
          <w:rFonts w:ascii="AytoRoquetas Light Condensed" w:hAnsi="AytoRoquetas Light Condensed"/>
        </w:rPr>
      </w:pPr>
      <w:r w:rsidRPr="00E25D93">
        <w:rPr>
          <w:rFonts w:ascii="AytoRoquetas Light Condensed" w:hAnsi="AytoRoquetas Light Condensed"/>
          <w:b/>
          <w:bCs/>
        </w:rPr>
        <w:t>Segundo</w:t>
      </w:r>
      <w:r w:rsidRPr="00E25D93">
        <w:rPr>
          <w:rFonts w:ascii="AytoRoquetas Light Condensed" w:hAnsi="AytoRoquetas Light Condensed"/>
        </w:rPr>
        <w:t xml:space="preserve">.- Proceder a su exposición al público por plazo de quince días hábiles, durante los cuales los interesados podrán presentar reclamaciones, u observaciones, conforme a lo establecido en el artículo 212 del mismo texto legal. </w:t>
      </w:r>
    </w:p>
    <w:p w14:paraId="2AD6B093" w14:textId="77777777" w:rsidR="00C95F99" w:rsidRPr="00E25D93" w:rsidRDefault="00C95F99" w:rsidP="00086D62">
      <w:pPr>
        <w:pStyle w:val="Textoindependiente"/>
        <w:spacing w:line="288" w:lineRule="auto"/>
        <w:contextualSpacing/>
        <w:rPr>
          <w:rFonts w:ascii="AytoRoquetas Light Condensed" w:hAnsi="AytoRoquetas Light Condensed"/>
          <w:b w:val="0"/>
          <w:bCs/>
          <w:sz w:val="22"/>
          <w:szCs w:val="22"/>
          <w:lang w:val="es-ES"/>
        </w:rPr>
      </w:pPr>
    </w:p>
    <w:p w14:paraId="253F6EC4" w14:textId="77777777" w:rsidR="001B7028" w:rsidRPr="00E25D93" w:rsidRDefault="001B7028" w:rsidP="00086D62">
      <w:pPr>
        <w:pStyle w:val="Default"/>
        <w:spacing w:line="288" w:lineRule="auto"/>
        <w:ind w:firstLine="1134"/>
        <w:contextualSpacing/>
        <w:jc w:val="both"/>
        <w:rPr>
          <w:b/>
          <w:bCs/>
          <w:color w:val="auto"/>
          <w:sz w:val="22"/>
          <w:szCs w:val="22"/>
        </w:rPr>
      </w:pPr>
      <w:r w:rsidRPr="00E25D93">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E25D93" w:rsidRDefault="001B7028" w:rsidP="00086D62">
      <w:pPr>
        <w:spacing w:after="0" w:line="288" w:lineRule="auto"/>
        <w:contextualSpacing/>
        <w:jc w:val="both"/>
        <w:rPr>
          <w:rFonts w:ascii="AytoRoquetas Light Condensed" w:hAnsi="AytoRoquetas Light Condensed"/>
        </w:rPr>
      </w:pPr>
    </w:p>
    <w:p w14:paraId="26EC9FBD" w14:textId="45D4A9DE" w:rsidR="001B7028" w:rsidRPr="00E25D93" w:rsidRDefault="001B7028" w:rsidP="00086D62">
      <w:pPr>
        <w:spacing w:after="0" w:line="240" w:lineRule="auto"/>
        <w:contextualSpacing/>
        <w:jc w:val="both"/>
        <w:rPr>
          <w:rFonts w:ascii="AytoRoquetas Light Condensed" w:hAnsi="AytoRoquetas Light Condensed"/>
          <w:i/>
          <w:iCs/>
        </w:rPr>
      </w:pPr>
      <w:r w:rsidRPr="00E25D93">
        <w:rPr>
          <w:rFonts w:ascii="AytoRoquetas Light Condensed" w:hAnsi="AytoRoquetas Light Condensed"/>
          <w:i/>
          <w:iCs/>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E25D9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00000007" w:usb1="00000000" w:usb2="00000000" w:usb3="00000000" w:csb0="00000093"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3AB398E"/>
    <w:multiLevelType w:val="hybridMultilevel"/>
    <w:tmpl w:val="7242AA24"/>
    <w:lvl w:ilvl="0" w:tplc="AF782B4C">
      <w:numFmt w:val="bullet"/>
      <w:lvlText w:val=""/>
      <w:lvlJc w:val="left"/>
      <w:pPr>
        <w:ind w:left="1180" w:hanging="360"/>
      </w:pPr>
      <w:rPr>
        <w:rFonts w:ascii="Symbol" w:eastAsia="Symbol" w:hAnsi="Symbol" w:cs="Symbol" w:hint="default"/>
        <w:b w:val="0"/>
        <w:bCs w:val="0"/>
        <w:i w:val="0"/>
        <w:iCs w:val="0"/>
        <w:spacing w:val="0"/>
        <w:w w:val="99"/>
        <w:sz w:val="24"/>
        <w:szCs w:val="24"/>
        <w:lang w:val="es-ES" w:eastAsia="en-US" w:bidi="ar-SA"/>
      </w:rPr>
    </w:lvl>
    <w:lvl w:ilvl="1" w:tplc="90A0F456">
      <w:numFmt w:val="bullet"/>
      <w:lvlText w:val="•"/>
      <w:lvlJc w:val="left"/>
      <w:pPr>
        <w:ind w:left="2092" w:hanging="360"/>
      </w:pPr>
      <w:rPr>
        <w:rFonts w:hint="default"/>
        <w:lang w:val="es-ES" w:eastAsia="en-US" w:bidi="ar-SA"/>
      </w:rPr>
    </w:lvl>
    <w:lvl w:ilvl="2" w:tplc="4D3A1A60">
      <w:numFmt w:val="bullet"/>
      <w:lvlText w:val="•"/>
      <w:lvlJc w:val="left"/>
      <w:pPr>
        <w:ind w:left="3005" w:hanging="360"/>
      </w:pPr>
      <w:rPr>
        <w:rFonts w:hint="default"/>
        <w:lang w:val="es-ES" w:eastAsia="en-US" w:bidi="ar-SA"/>
      </w:rPr>
    </w:lvl>
    <w:lvl w:ilvl="3" w:tplc="4FDE85D0">
      <w:numFmt w:val="bullet"/>
      <w:lvlText w:val="•"/>
      <w:lvlJc w:val="left"/>
      <w:pPr>
        <w:ind w:left="3917" w:hanging="360"/>
      </w:pPr>
      <w:rPr>
        <w:rFonts w:hint="default"/>
        <w:lang w:val="es-ES" w:eastAsia="en-US" w:bidi="ar-SA"/>
      </w:rPr>
    </w:lvl>
    <w:lvl w:ilvl="4" w:tplc="0D329FAC">
      <w:numFmt w:val="bullet"/>
      <w:lvlText w:val="•"/>
      <w:lvlJc w:val="left"/>
      <w:pPr>
        <w:ind w:left="4830" w:hanging="360"/>
      </w:pPr>
      <w:rPr>
        <w:rFonts w:hint="default"/>
        <w:lang w:val="es-ES" w:eastAsia="en-US" w:bidi="ar-SA"/>
      </w:rPr>
    </w:lvl>
    <w:lvl w:ilvl="5" w:tplc="FAAAEE2E">
      <w:numFmt w:val="bullet"/>
      <w:lvlText w:val="•"/>
      <w:lvlJc w:val="left"/>
      <w:pPr>
        <w:ind w:left="5742" w:hanging="360"/>
      </w:pPr>
      <w:rPr>
        <w:rFonts w:hint="default"/>
        <w:lang w:val="es-ES" w:eastAsia="en-US" w:bidi="ar-SA"/>
      </w:rPr>
    </w:lvl>
    <w:lvl w:ilvl="6" w:tplc="E33C3796">
      <w:numFmt w:val="bullet"/>
      <w:lvlText w:val="•"/>
      <w:lvlJc w:val="left"/>
      <w:pPr>
        <w:ind w:left="6655" w:hanging="360"/>
      </w:pPr>
      <w:rPr>
        <w:rFonts w:hint="default"/>
        <w:lang w:val="es-ES" w:eastAsia="en-US" w:bidi="ar-SA"/>
      </w:rPr>
    </w:lvl>
    <w:lvl w:ilvl="7" w:tplc="E11CA694">
      <w:numFmt w:val="bullet"/>
      <w:lvlText w:val="•"/>
      <w:lvlJc w:val="left"/>
      <w:pPr>
        <w:ind w:left="7567" w:hanging="360"/>
      </w:pPr>
      <w:rPr>
        <w:rFonts w:hint="default"/>
        <w:lang w:val="es-ES" w:eastAsia="en-US" w:bidi="ar-SA"/>
      </w:rPr>
    </w:lvl>
    <w:lvl w:ilvl="8" w:tplc="0906A0E6">
      <w:numFmt w:val="bullet"/>
      <w:lvlText w:val="•"/>
      <w:lvlJc w:val="left"/>
      <w:pPr>
        <w:ind w:left="8480" w:hanging="360"/>
      </w:pPr>
      <w:rPr>
        <w:rFonts w:hint="default"/>
        <w:lang w:val="es-ES" w:eastAsia="en-US" w:bidi="ar-SA"/>
      </w:rPr>
    </w:lvl>
  </w:abstractNum>
  <w:abstractNum w:abstractNumId="10" w15:restartNumberingAfterBreak="0">
    <w:nsid w:val="55E613E7"/>
    <w:multiLevelType w:val="hybridMultilevel"/>
    <w:tmpl w:val="7F820676"/>
    <w:lvl w:ilvl="0" w:tplc="479C8592">
      <w:start w:val="1"/>
      <w:numFmt w:val="lowerLetter"/>
      <w:lvlText w:val="%1)"/>
      <w:lvlJc w:val="left"/>
      <w:pPr>
        <w:ind w:left="1100" w:hanging="280"/>
      </w:pPr>
      <w:rPr>
        <w:rFonts w:ascii="Arial" w:eastAsia="Arial" w:hAnsi="Arial" w:cs="Arial" w:hint="default"/>
        <w:b w:val="0"/>
        <w:bCs w:val="0"/>
        <w:i w:val="0"/>
        <w:iCs w:val="0"/>
        <w:spacing w:val="0"/>
        <w:w w:val="99"/>
        <w:sz w:val="24"/>
        <w:szCs w:val="24"/>
        <w:lang w:val="es-ES" w:eastAsia="en-US" w:bidi="ar-SA"/>
      </w:rPr>
    </w:lvl>
    <w:lvl w:ilvl="1" w:tplc="D58AA3AE">
      <w:numFmt w:val="bullet"/>
      <w:lvlText w:val="•"/>
      <w:lvlJc w:val="left"/>
      <w:pPr>
        <w:ind w:left="2020" w:hanging="280"/>
      </w:pPr>
      <w:rPr>
        <w:rFonts w:hint="default"/>
        <w:lang w:val="es-ES" w:eastAsia="en-US" w:bidi="ar-SA"/>
      </w:rPr>
    </w:lvl>
    <w:lvl w:ilvl="2" w:tplc="D6AC2CB8">
      <w:numFmt w:val="bullet"/>
      <w:lvlText w:val="•"/>
      <w:lvlJc w:val="left"/>
      <w:pPr>
        <w:ind w:left="2941" w:hanging="280"/>
      </w:pPr>
      <w:rPr>
        <w:rFonts w:hint="default"/>
        <w:lang w:val="es-ES" w:eastAsia="en-US" w:bidi="ar-SA"/>
      </w:rPr>
    </w:lvl>
    <w:lvl w:ilvl="3" w:tplc="E31ADED4">
      <w:numFmt w:val="bullet"/>
      <w:lvlText w:val="•"/>
      <w:lvlJc w:val="left"/>
      <w:pPr>
        <w:ind w:left="3861" w:hanging="280"/>
      </w:pPr>
      <w:rPr>
        <w:rFonts w:hint="default"/>
        <w:lang w:val="es-ES" w:eastAsia="en-US" w:bidi="ar-SA"/>
      </w:rPr>
    </w:lvl>
    <w:lvl w:ilvl="4" w:tplc="18667F06">
      <w:numFmt w:val="bullet"/>
      <w:lvlText w:val="•"/>
      <w:lvlJc w:val="left"/>
      <w:pPr>
        <w:ind w:left="4782" w:hanging="280"/>
      </w:pPr>
      <w:rPr>
        <w:rFonts w:hint="default"/>
        <w:lang w:val="es-ES" w:eastAsia="en-US" w:bidi="ar-SA"/>
      </w:rPr>
    </w:lvl>
    <w:lvl w:ilvl="5" w:tplc="8BFCE85E">
      <w:numFmt w:val="bullet"/>
      <w:lvlText w:val="•"/>
      <w:lvlJc w:val="left"/>
      <w:pPr>
        <w:ind w:left="5702" w:hanging="280"/>
      </w:pPr>
      <w:rPr>
        <w:rFonts w:hint="default"/>
        <w:lang w:val="es-ES" w:eastAsia="en-US" w:bidi="ar-SA"/>
      </w:rPr>
    </w:lvl>
    <w:lvl w:ilvl="6" w:tplc="2636364A">
      <w:numFmt w:val="bullet"/>
      <w:lvlText w:val="•"/>
      <w:lvlJc w:val="left"/>
      <w:pPr>
        <w:ind w:left="6623" w:hanging="280"/>
      </w:pPr>
      <w:rPr>
        <w:rFonts w:hint="default"/>
        <w:lang w:val="es-ES" w:eastAsia="en-US" w:bidi="ar-SA"/>
      </w:rPr>
    </w:lvl>
    <w:lvl w:ilvl="7" w:tplc="1A84B7AA">
      <w:numFmt w:val="bullet"/>
      <w:lvlText w:val="•"/>
      <w:lvlJc w:val="left"/>
      <w:pPr>
        <w:ind w:left="7543" w:hanging="280"/>
      </w:pPr>
      <w:rPr>
        <w:rFonts w:hint="default"/>
        <w:lang w:val="es-ES" w:eastAsia="en-US" w:bidi="ar-SA"/>
      </w:rPr>
    </w:lvl>
    <w:lvl w:ilvl="8" w:tplc="84B825EA">
      <w:numFmt w:val="bullet"/>
      <w:lvlText w:val="•"/>
      <w:lvlJc w:val="left"/>
      <w:pPr>
        <w:ind w:left="8464" w:hanging="280"/>
      </w:pPr>
      <w:rPr>
        <w:rFonts w:hint="default"/>
        <w:lang w:val="es-ES" w:eastAsia="en-US" w:bidi="ar-SA"/>
      </w:rPr>
    </w:lvl>
  </w:abstractNum>
  <w:abstractNum w:abstractNumId="11"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A8F0B28"/>
    <w:multiLevelType w:val="hybridMultilevel"/>
    <w:tmpl w:val="6492D57E"/>
    <w:lvl w:ilvl="0" w:tplc="F912EDD6">
      <w:start w:val="1"/>
      <w:numFmt w:val="upperRoman"/>
      <w:lvlText w:val="%1."/>
      <w:lvlJc w:val="left"/>
      <w:pPr>
        <w:ind w:left="1180" w:hanging="720"/>
      </w:pPr>
      <w:rPr>
        <w:rFonts w:ascii="Arial" w:eastAsia="Arial" w:hAnsi="Arial" w:cs="Arial" w:hint="default"/>
        <w:b w:val="0"/>
        <w:bCs w:val="0"/>
        <w:i w:val="0"/>
        <w:iCs w:val="0"/>
        <w:spacing w:val="0"/>
        <w:w w:val="99"/>
        <w:sz w:val="24"/>
        <w:szCs w:val="24"/>
        <w:lang w:val="es-ES" w:eastAsia="en-US" w:bidi="ar-SA"/>
      </w:rPr>
    </w:lvl>
    <w:lvl w:ilvl="1" w:tplc="E800047E">
      <w:start w:val="1"/>
      <w:numFmt w:val="lowerLetter"/>
      <w:lvlText w:val="%2)"/>
      <w:lvlJc w:val="left"/>
      <w:pPr>
        <w:ind w:left="1169" w:hanging="360"/>
      </w:pPr>
      <w:rPr>
        <w:rFonts w:ascii="Arial" w:eastAsia="Arial" w:hAnsi="Arial" w:cs="Arial" w:hint="default"/>
        <w:b w:val="0"/>
        <w:bCs w:val="0"/>
        <w:i w:val="0"/>
        <w:iCs w:val="0"/>
        <w:spacing w:val="-1"/>
        <w:w w:val="99"/>
        <w:sz w:val="24"/>
        <w:szCs w:val="24"/>
        <w:lang w:val="es-ES" w:eastAsia="en-US" w:bidi="ar-SA"/>
      </w:rPr>
    </w:lvl>
    <w:lvl w:ilvl="2" w:tplc="CEB0BBB8">
      <w:numFmt w:val="bullet"/>
      <w:lvlText w:val="•"/>
      <w:lvlJc w:val="left"/>
      <w:pPr>
        <w:ind w:left="2193" w:hanging="360"/>
      </w:pPr>
      <w:rPr>
        <w:rFonts w:hint="default"/>
        <w:lang w:val="es-ES" w:eastAsia="en-US" w:bidi="ar-SA"/>
      </w:rPr>
    </w:lvl>
    <w:lvl w:ilvl="3" w:tplc="0CFA54C4">
      <w:numFmt w:val="bullet"/>
      <w:lvlText w:val="•"/>
      <w:lvlJc w:val="left"/>
      <w:pPr>
        <w:ind w:left="3207" w:hanging="360"/>
      </w:pPr>
      <w:rPr>
        <w:rFonts w:hint="default"/>
        <w:lang w:val="es-ES" w:eastAsia="en-US" w:bidi="ar-SA"/>
      </w:rPr>
    </w:lvl>
    <w:lvl w:ilvl="4" w:tplc="4364E5C0">
      <w:numFmt w:val="bullet"/>
      <w:lvlText w:val="•"/>
      <w:lvlJc w:val="left"/>
      <w:pPr>
        <w:ind w:left="4221" w:hanging="360"/>
      </w:pPr>
      <w:rPr>
        <w:rFonts w:hint="default"/>
        <w:lang w:val="es-ES" w:eastAsia="en-US" w:bidi="ar-SA"/>
      </w:rPr>
    </w:lvl>
    <w:lvl w:ilvl="5" w:tplc="B1208C24">
      <w:numFmt w:val="bullet"/>
      <w:lvlText w:val="•"/>
      <w:lvlJc w:val="left"/>
      <w:pPr>
        <w:ind w:left="5235" w:hanging="360"/>
      </w:pPr>
      <w:rPr>
        <w:rFonts w:hint="default"/>
        <w:lang w:val="es-ES" w:eastAsia="en-US" w:bidi="ar-SA"/>
      </w:rPr>
    </w:lvl>
    <w:lvl w:ilvl="6" w:tplc="D9565656">
      <w:numFmt w:val="bullet"/>
      <w:lvlText w:val="•"/>
      <w:lvlJc w:val="left"/>
      <w:pPr>
        <w:ind w:left="6249" w:hanging="360"/>
      </w:pPr>
      <w:rPr>
        <w:rFonts w:hint="default"/>
        <w:lang w:val="es-ES" w:eastAsia="en-US" w:bidi="ar-SA"/>
      </w:rPr>
    </w:lvl>
    <w:lvl w:ilvl="7" w:tplc="7D300D00">
      <w:numFmt w:val="bullet"/>
      <w:lvlText w:val="•"/>
      <w:lvlJc w:val="left"/>
      <w:pPr>
        <w:ind w:left="7263" w:hanging="360"/>
      </w:pPr>
      <w:rPr>
        <w:rFonts w:hint="default"/>
        <w:lang w:val="es-ES" w:eastAsia="en-US" w:bidi="ar-SA"/>
      </w:rPr>
    </w:lvl>
    <w:lvl w:ilvl="8" w:tplc="2B0CD436">
      <w:numFmt w:val="bullet"/>
      <w:lvlText w:val="•"/>
      <w:lvlJc w:val="left"/>
      <w:pPr>
        <w:ind w:left="8277" w:hanging="360"/>
      </w:pPr>
      <w:rPr>
        <w:rFonts w:hint="default"/>
        <w:lang w:val="es-ES" w:eastAsia="en-US" w:bidi="ar-SA"/>
      </w:rPr>
    </w:lvl>
  </w:abstractNum>
  <w:num w:numId="1" w16cid:durableId="1208030772">
    <w:abstractNumId w:val="2"/>
  </w:num>
  <w:num w:numId="2" w16cid:durableId="1619794789">
    <w:abstractNumId w:val="3"/>
  </w:num>
  <w:num w:numId="3" w16cid:durableId="1769427927">
    <w:abstractNumId w:val="4"/>
  </w:num>
  <w:num w:numId="4" w16cid:durableId="826364829">
    <w:abstractNumId w:val="12"/>
  </w:num>
  <w:num w:numId="5" w16cid:durableId="905068301">
    <w:abstractNumId w:val="8"/>
  </w:num>
  <w:num w:numId="6" w16cid:durableId="1493254677">
    <w:abstractNumId w:val="11"/>
  </w:num>
  <w:num w:numId="7" w16cid:durableId="1852914155">
    <w:abstractNumId w:val="7"/>
  </w:num>
  <w:num w:numId="8" w16cid:durableId="1072461346">
    <w:abstractNumId w:val="0"/>
  </w:num>
  <w:num w:numId="9" w16cid:durableId="1116874861">
    <w:abstractNumId w:val="1"/>
  </w:num>
  <w:num w:numId="10" w16cid:durableId="1907837624">
    <w:abstractNumId w:val="5"/>
  </w:num>
  <w:num w:numId="11" w16cid:durableId="1001271515">
    <w:abstractNumId w:val="6"/>
  </w:num>
  <w:num w:numId="12" w16cid:durableId="81805415">
    <w:abstractNumId w:val="13"/>
  </w:num>
  <w:num w:numId="13" w16cid:durableId="1467429684">
    <w:abstractNumId w:val="14"/>
  </w:num>
  <w:num w:numId="14" w16cid:durableId="923761659">
    <w:abstractNumId w:val="10"/>
  </w:num>
  <w:num w:numId="15" w16cid:durableId="262733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0D07B3"/>
    <w:rsid w:val="00122CBA"/>
    <w:rsid w:val="00170E73"/>
    <w:rsid w:val="001A725E"/>
    <w:rsid w:val="001B7028"/>
    <w:rsid w:val="001D5D29"/>
    <w:rsid w:val="0021394F"/>
    <w:rsid w:val="00221125"/>
    <w:rsid w:val="002A4E53"/>
    <w:rsid w:val="0033637B"/>
    <w:rsid w:val="003645B5"/>
    <w:rsid w:val="00365163"/>
    <w:rsid w:val="00373889"/>
    <w:rsid w:val="004B7729"/>
    <w:rsid w:val="00537205"/>
    <w:rsid w:val="005D7CEB"/>
    <w:rsid w:val="00832717"/>
    <w:rsid w:val="008743DE"/>
    <w:rsid w:val="008761D5"/>
    <w:rsid w:val="00BF0BD7"/>
    <w:rsid w:val="00C95F99"/>
    <w:rsid w:val="00C96C71"/>
    <w:rsid w:val="00D50F61"/>
    <w:rsid w:val="00DC2C1A"/>
    <w:rsid w:val="00DD6B08"/>
    <w:rsid w:val="00E03B8A"/>
    <w:rsid w:val="00E25D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qFormat/>
    <w:rsid w:val="00D50F61"/>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32"/>
      <w:sz w:val="32"/>
      <w:szCs w:val="3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styleId="Textoindependiente3">
    <w:name w:val="Body Text 3"/>
    <w:basedOn w:val="Normal"/>
    <w:link w:val="Textoindependiente3Car"/>
    <w:uiPriority w:val="99"/>
    <w:semiHidden/>
    <w:unhideWhenUsed/>
    <w:rsid w:val="00E25D9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25D93"/>
    <w:rPr>
      <w:rFonts w:ascii="Calibri" w:hAnsi="Calibri" w:cs="Calibri"/>
      <w:sz w:val="16"/>
      <w:szCs w:val="16"/>
    </w:rPr>
  </w:style>
  <w:style w:type="paragraph" w:styleId="Textodebloque">
    <w:name w:val="Block Text"/>
    <w:basedOn w:val="Normal"/>
    <w:uiPriority w:val="99"/>
    <w:rsid w:val="00E25D93"/>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autoSpaceDE/>
      <w:autoSpaceDN/>
      <w:adjustRightInd/>
      <w:spacing w:after="120" w:line="240" w:lineRule="atLeast"/>
      <w:ind w:left="423" w:right="872" w:firstLine="995"/>
      <w:jc w:val="both"/>
    </w:pPr>
    <w:rPr>
      <w:rFonts w:ascii="Arial" w:eastAsia="Times New Roman" w:hAnsi="Arial" w:cs="Arial"/>
      <w:color w:val="000000"/>
      <w:sz w:val="20"/>
      <w:szCs w:val="24"/>
    </w:rPr>
  </w:style>
  <w:style w:type="character" w:customStyle="1" w:styleId="Ttulo1Car">
    <w:name w:val="Título 1 Car"/>
    <w:basedOn w:val="Fuentedeprrafopredeter"/>
    <w:link w:val="Ttulo1"/>
    <w:rsid w:val="00D50F61"/>
    <w:rPr>
      <w:rFonts w:ascii="Calibri Light" w:eastAsia="Times New Roman" w:hAnsi="Calibri Light"/>
      <w:b/>
      <w:bCs/>
      <w:color w:val="000000"/>
      <w:kern w:val="32"/>
      <w:sz w:val="32"/>
      <w:szCs w:val="3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2182</Words>
  <Characters>11230</Characters>
  <Application>Microsoft Office Word</Application>
  <DocSecurity>0</DocSecurity>
  <Lines>93</Lines>
  <Paragraphs>26</Paragraphs>
  <ScaleCrop>false</ScaleCrop>
  <Company/>
  <LinksUpToDate>false</LinksUpToDate>
  <CharactersWithSpaces>13386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4</cp:revision>
  <dcterms:created xsi:type="dcterms:W3CDTF">2023-12-22T11:41:00Z</dcterms:created>
  <dcterms:modified xsi:type="dcterms:W3CDTF">2024-01-12T09:55:00Z</dcterms:modified>
</cp:coreProperties>
</file>