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57CE6" w14:textId="77777777" w:rsidR="00356C82" w:rsidRDefault="00356C82" w:rsidP="001B7C86">
      <w:pPr>
        <w:tabs>
          <w:tab w:val="left" w:pos="2830"/>
        </w:tabs>
        <w:spacing w:line="276" w:lineRule="auto"/>
        <w:ind w:right="-1"/>
        <w:contextualSpacing/>
        <w:rPr>
          <w:rFonts w:ascii="AytoRoquetas Light Condensed" w:hAnsi="AytoRoquetas Light Condensed"/>
        </w:rPr>
      </w:pPr>
    </w:p>
    <w:p w14:paraId="02953A1B" w14:textId="77777777" w:rsidR="00356C82" w:rsidRPr="00E75EF3" w:rsidRDefault="00356C82" w:rsidP="001B7C86">
      <w:pPr>
        <w:pStyle w:val="Ttulo1"/>
        <w:tabs>
          <w:tab w:val="center" w:pos="507"/>
          <w:tab w:val="center" w:pos="5322"/>
        </w:tabs>
        <w:spacing w:line="276" w:lineRule="auto"/>
        <w:ind w:left="0" w:right="0"/>
        <w:contextualSpacing/>
        <w:rPr>
          <w:rFonts w:ascii="AytoRoquetas Light Condensed" w:hAnsi="AytoRoquetas Light Condensed"/>
          <w:sz w:val="22"/>
          <w:szCs w:val="22"/>
        </w:rPr>
      </w:pPr>
      <w:r w:rsidRPr="00E75EF3">
        <w:rPr>
          <w:rFonts w:ascii="AytoRoquetas Light Condensed" w:hAnsi="AytoRoquetas Light Condensed"/>
          <w:sz w:val="22"/>
          <w:szCs w:val="22"/>
        </w:rPr>
        <w:t xml:space="preserve">MODELO </w:t>
      </w:r>
      <w:r>
        <w:rPr>
          <w:rFonts w:ascii="AytoRoquetas Light Condensed" w:hAnsi="AytoRoquetas Light Condensed"/>
          <w:sz w:val="22"/>
          <w:szCs w:val="22"/>
        </w:rPr>
        <w:t xml:space="preserve">DE </w:t>
      </w:r>
      <w:r w:rsidRPr="00E75EF3">
        <w:rPr>
          <w:rFonts w:ascii="AytoRoquetas Light Condensed" w:hAnsi="AytoRoquetas Light Condensed"/>
          <w:sz w:val="22"/>
          <w:szCs w:val="22"/>
        </w:rPr>
        <w:t>DECLARACIÓN DE AUSENCIA DE CONFLICTO DE INTERESES (DACI)</w:t>
      </w:r>
    </w:p>
    <w:p w14:paraId="31E2DA47" w14:textId="77777777" w:rsidR="00356C82" w:rsidRDefault="00356C82" w:rsidP="001B7C86">
      <w:pPr>
        <w:pStyle w:val="Ttulo1"/>
        <w:tabs>
          <w:tab w:val="center" w:pos="507"/>
          <w:tab w:val="center" w:pos="5322"/>
        </w:tabs>
        <w:spacing w:line="276" w:lineRule="auto"/>
        <w:ind w:left="0" w:right="0"/>
        <w:contextualSpacing/>
        <w:rPr>
          <w:rFonts w:ascii="AytoRoquetas Light Condensed" w:hAnsi="AytoRoquetas Light Condensed"/>
          <w:sz w:val="22"/>
          <w:szCs w:val="22"/>
        </w:rPr>
      </w:pPr>
      <w:r>
        <w:rPr>
          <w:rFonts w:ascii="AytoRoquetas Light Condensed" w:hAnsi="AytoRoquetas Light Condensed"/>
          <w:sz w:val="22"/>
          <w:szCs w:val="22"/>
        </w:rPr>
        <w:t>(Administración)</w:t>
      </w:r>
    </w:p>
    <w:p w14:paraId="66DC9FAC" w14:textId="77D2A0AF" w:rsidR="00356C82" w:rsidRPr="00E75EF3" w:rsidRDefault="001C5367" w:rsidP="001B7C86">
      <w:pPr>
        <w:pStyle w:val="Ttulo1"/>
        <w:tabs>
          <w:tab w:val="center" w:pos="507"/>
          <w:tab w:val="center" w:pos="5322"/>
        </w:tabs>
        <w:spacing w:line="276" w:lineRule="auto"/>
        <w:ind w:left="0" w:right="0"/>
        <w:contextualSpacing/>
        <w:rPr>
          <w:rFonts w:ascii="AytoRoquetas Light Condensed" w:hAnsi="AytoRoquetas Light Condensed"/>
          <w:sz w:val="22"/>
          <w:szCs w:val="22"/>
        </w:rPr>
      </w:pPr>
      <w:r>
        <w:rPr>
          <w:rFonts w:ascii="AytoRoquetas Light Condensed" w:hAnsi="AytoRoquetas Light Condensed"/>
          <w:sz w:val="22"/>
          <w:szCs w:val="22"/>
        </w:rPr>
        <w:t>Intervención - Fiscalización</w:t>
      </w:r>
      <w:r w:rsidR="00356C82">
        <w:rPr>
          <w:rFonts w:ascii="AytoRoquetas Light Condensed" w:hAnsi="AytoRoquetas Light Condensed"/>
          <w:sz w:val="22"/>
          <w:szCs w:val="22"/>
        </w:rPr>
        <w:t xml:space="preserve"> del </w:t>
      </w:r>
      <w:r w:rsidR="0040497C" w:rsidRPr="0040497C">
        <w:rPr>
          <w:rFonts w:ascii="AytoRoquetas Light Condensed" w:hAnsi="AytoRoquetas Light Condensed"/>
          <w:sz w:val="22"/>
          <w:szCs w:val="22"/>
        </w:rPr>
        <w:t>Consorcio para la Gestión del Ciclo Integral del Agua de Uso Urbano en el Poniente Almeriense</w:t>
      </w:r>
    </w:p>
    <w:p w14:paraId="38E67E13" w14:textId="77777777" w:rsidR="00356C82" w:rsidRDefault="00356C82" w:rsidP="001B7C86">
      <w:pPr>
        <w:spacing w:line="276" w:lineRule="auto"/>
        <w:ind w:left="87" w:right="44"/>
        <w:contextualSpacing/>
        <w:rPr>
          <w:rFonts w:ascii="AytoRoquetas Light Condensed" w:hAnsi="AytoRoquetas Light Condensed"/>
          <w:b/>
          <w:bCs/>
        </w:rPr>
      </w:pPr>
    </w:p>
    <w:p w14:paraId="12B6A16E" w14:textId="77777777" w:rsidR="00DF0C64" w:rsidRDefault="00DF0C64" w:rsidP="00DF0C64">
      <w:pPr>
        <w:spacing w:line="276" w:lineRule="auto"/>
        <w:ind w:left="87" w:right="44"/>
        <w:contextualSpacing/>
        <w:rPr>
          <w:rFonts w:ascii="AytoRoquetas Light Condensed" w:hAnsi="AytoRoquetas Light Condensed" w:cs="AytoRoquetasLightCondensed"/>
        </w:rPr>
      </w:pPr>
      <w:r>
        <w:rPr>
          <w:rFonts w:ascii="AytoRoquetas Light Condensed" w:hAnsi="AytoRoquetas Light Condensed" w:cs="AytoRoquetasLightCondensed"/>
          <w:b/>
          <w:bCs/>
        </w:rPr>
        <w:t>Expediente</w:t>
      </w:r>
      <w:r>
        <w:rPr>
          <w:rFonts w:ascii="AytoRoquetas Light Condensed" w:hAnsi="AytoRoquetas Light Condensed" w:cs="AytoRoquetasLightCondensed"/>
        </w:rPr>
        <w:t>: 1/24 (2023/140)</w:t>
      </w:r>
    </w:p>
    <w:p w14:paraId="04D27BEC" w14:textId="77777777" w:rsidR="00D24E70" w:rsidRPr="00E567D8" w:rsidRDefault="00356C82" w:rsidP="00D24E70">
      <w:pPr>
        <w:widowControl/>
        <w:adjustRightInd w:val="0"/>
        <w:spacing w:line="288" w:lineRule="auto"/>
        <w:jc w:val="both"/>
        <w:rPr>
          <w:rFonts w:ascii="AytoRoquetas Light Condensed" w:hAnsi="AytoRoquetas Light Condensed"/>
        </w:rPr>
      </w:pPr>
      <w:r w:rsidRPr="00E75EF3">
        <w:rPr>
          <w:rFonts w:ascii="AytoRoquetas Light Condensed" w:hAnsi="AytoRoquetas Light Condensed"/>
          <w:b/>
          <w:bCs/>
        </w:rPr>
        <w:t>Contrato</w:t>
      </w:r>
      <w:r w:rsidRPr="00E75EF3">
        <w:rPr>
          <w:rFonts w:ascii="AytoRoquetas Light Condensed" w:hAnsi="AytoRoquetas Light Condensed"/>
        </w:rPr>
        <w:t xml:space="preserve">: </w:t>
      </w:r>
      <w:r w:rsidR="00D24E70" w:rsidRPr="00E567D8">
        <w:rPr>
          <w:rFonts w:ascii="AytoRoquetas Light Condensed" w:hAnsi="AytoRoquetas Light Condensed" w:cs="AytoRoquetasLightCondensed"/>
        </w:rPr>
        <w:t>SERVICIOS PROFESIONALES PARA LOS TRABAJOS DE REDACCIÓN DEL PROYECTO CONSTRUCTIVO PARA LA AMPLIACIÓN DE LA LÍNEA DE TRATAMIENTO DE LODOS DE LA E.D.A.R. DE ROQUETAS DE MAR (ALMERÍA) PARA LA PRODUCCIÓN DE BIOGÁS, APROVECHAMIENTO ENERGÉTICO Y TRATAMIENTO DEL DIGERIDO.</w:t>
      </w:r>
    </w:p>
    <w:p w14:paraId="4B1ADCC2" w14:textId="19E8C1C9" w:rsidR="00356C82" w:rsidRDefault="00356C82" w:rsidP="00D24E70">
      <w:pPr>
        <w:spacing w:line="276" w:lineRule="auto"/>
        <w:ind w:left="87" w:right="44"/>
        <w:contextualSpacing/>
        <w:jc w:val="both"/>
        <w:rPr>
          <w:rFonts w:ascii="AytoRoquetas Light Condensed" w:hAnsi="AytoRoquetas Light Condensed"/>
        </w:rPr>
      </w:pPr>
    </w:p>
    <w:p w14:paraId="6093E0EE" w14:textId="77777777" w:rsidR="00356C82" w:rsidRDefault="00356C82" w:rsidP="001B7C86">
      <w:pPr>
        <w:spacing w:line="276" w:lineRule="auto"/>
        <w:ind w:left="77" w:right="44"/>
        <w:contextualSpacing/>
        <w:jc w:val="both"/>
        <w:rPr>
          <w:rFonts w:ascii="AytoRoquetas Light Condensed" w:hAnsi="AytoRoquetas Light Condensed"/>
        </w:rPr>
      </w:pPr>
      <w:r w:rsidRPr="00E75EF3">
        <w:rPr>
          <w:rFonts w:ascii="AytoRoquetas Light Condensed" w:hAnsi="AytoRoquetas Light Condensed"/>
        </w:rPr>
        <w:t xml:space="preserve">Al objeto de garantizar la imparcialidad en el procedimiento de contratación arriba referenciado, el/los abajo firmante/s, como participante/s en el proceso de preparación y tramitación del expediente, declara/declaran: </w:t>
      </w:r>
    </w:p>
    <w:p w14:paraId="2428FE3A" w14:textId="77777777" w:rsidR="00356C82" w:rsidRPr="00E75EF3" w:rsidRDefault="00356C82" w:rsidP="001B7C86">
      <w:pPr>
        <w:spacing w:line="276" w:lineRule="auto"/>
        <w:ind w:left="77" w:right="44" w:firstLine="284"/>
        <w:contextualSpacing/>
        <w:jc w:val="both"/>
        <w:rPr>
          <w:rFonts w:ascii="AytoRoquetas Light Condensed" w:hAnsi="AytoRoquetas Light Condensed"/>
        </w:rPr>
      </w:pPr>
    </w:p>
    <w:p w14:paraId="53ADC2E6" w14:textId="77777777" w:rsidR="00356C82" w:rsidRPr="00E75EF3" w:rsidRDefault="00356C82" w:rsidP="001B7C86">
      <w:pPr>
        <w:spacing w:after="279" w:line="276" w:lineRule="auto"/>
        <w:ind w:left="87" w:right="44"/>
        <w:contextualSpacing/>
        <w:jc w:val="both"/>
        <w:rPr>
          <w:rFonts w:ascii="AytoRoquetas Light Condensed" w:hAnsi="AytoRoquetas Light Condensed"/>
        </w:rPr>
      </w:pPr>
      <w:r w:rsidRPr="00E75EF3">
        <w:rPr>
          <w:rFonts w:ascii="AytoRoquetas Light Condensed" w:hAnsi="AytoRoquetas Light Condensed"/>
          <w:b/>
          <w:bCs/>
        </w:rPr>
        <w:t>Primero</w:t>
      </w:r>
      <w:r w:rsidRPr="00E75EF3">
        <w:rPr>
          <w:rFonts w:ascii="AytoRoquetas Light Condensed" w:hAnsi="AytoRoquetas Light Condensed"/>
        </w:rPr>
        <w:t xml:space="preserve">. Estar informado/s de lo siguiente: </w:t>
      </w:r>
    </w:p>
    <w:p w14:paraId="4C1AC480" w14:textId="77777777" w:rsidR="00356C82" w:rsidRPr="00ED2FDF" w:rsidRDefault="00356C82" w:rsidP="001B7C86">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ED2FDF">
        <w:rPr>
          <w:rFonts w:ascii="AytoRoquetas Light Condensed" w:hAnsi="AytoRoquetas Light Condensed"/>
        </w:rPr>
        <w:t xml:space="preserve">Que el artículo 61.3 «Conflicto de intereses», del Reglamento (UE, Euratom) 2018/1046 del Parlamento Europeo y del Consejo, de 18 de julio (Reglamento financiero de la UE) establece que «existirá conflicto de intereses cuando el ejercicio imparcial y objetivo de las funciones se vea comprometido por razones familiares, afectivas, de afinidad política o nacional, de interés económico o por cualquier motivo directo o indirecto de interés personal.» </w:t>
      </w:r>
    </w:p>
    <w:p w14:paraId="39F13F43" w14:textId="77777777" w:rsidR="00356C82" w:rsidRPr="00ED2FDF" w:rsidRDefault="00356C82" w:rsidP="001B7C86">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ED2FDF">
        <w:rPr>
          <w:rFonts w:ascii="AytoRoquetas Light Condensed" w:hAnsi="AytoRoquetas Light Condensed"/>
        </w:rPr>
        <w:t>Que el artículo 64 «Lucha contra la corrupción y prevención de los conflictos de intereses» de la Ley 9/2017, de 8 de noviembre, de Contratos del Sector Público, tiene el fin de evitar cualquier distorsión de la competencia y garantizar la transparencia en el procedimiento y asegurar la igualdad de trato a todos los candidatos y licitadores, y define el conflicto de interés como “cualquier situación en la que el personal al servicio del órgano de contratación, que además participe en el desarrollo del procedimiento de licitación o pueda influir en el resultado del mismo, tenga directa o indirectamente un interés financiero, económico o personal que pudiera parecer que compromete su imparcialidad e independencia en el contexto del procedimiento de licitación”.</w:t>
      </w:r>
    </w:p>
    <w:p w14:paraId="7714C23B" w14:textId="77777777" w:rsidR="00356C82" w:rsidRDefault="00356C82" w:rsidP="001B7C86">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5B2D76">
        <w:rPr>
          <w:rFonts w:ascii="AytoRoquetas Light Condensed" w:hAnsi="AytoRoquetas Light Condensed"/>
        </w:rPr>
        <w:t xml:space="preserve">Que el apartado 3 de la Disposición Adicional centésima décima segunda de la Ley 31/2022, de 23 de diciembre, de Presupuestos Generales del Estado para 2023, establece que </w:t>
      </w:r>
      <w:r>
        <w:rPr>
          <w:rFonts w:ascii="AytoRoquetas Light Condensed" w:hAnsi="AytoRoquetas Light Condensed"/>
        </w:rPr>
        <w:t>“</w:t>
      </w:r>
      <w:r w:rsidRPr="005B2D76">
        <w:rPr>
          <w:rFonts w:ascii="AytoRoquetas Light Condensed" w:hAnsi="AytoRoquetas Light Condensed"/>
        </w:rPr>
        <w:t>El análisis sistemático y automatizado del riesgo de conflicto de interés resulta de aplicación a los empleados públicos y resto de personal al servicio de entidades decisoras, ejecutoras e instrumentales que participen, de forma individual o mediante su pertenencia a órganos colegiados, en los</w:t>
      </w:r>
      <w:r>
        <w:rPr>
          <w:rFonts w:ascii="AytoRoquetas Light Condensed" w:hAnsi="AytoRoquetas Light Condensed"/>
        </w:rPr>
        <w:t xml:space="preserve"> </w:t>
      </w:r>
      <w:r w:rsidRPr="005B2D76">
        <w:rPr>
          <w:rFonts w:ascii="AytoRoquetas Light Condensed" w:hAnsi="AytoRoquetas Light Condensed"/>
        </w:rPr>
        <w:t>procedimientos descritos de adjudicación de contratos o de concesión de subvenciones</w:t>
      </w:r>
      <w:r>
        <w:rPr>
          <w:rFonts w:ascii="AytoRoquetas Light Condensed" w:hAnsi="AytoRoquetas Light Condensed"/>
        </w:rPr>
        <w:t>”</w:t>
      </w:r>
      <w:r w:rsidRPr="005B2D76">
        <w:rPr>
          <w:rFonts w:ascii="AytoRoquetas Light Condensed" w:hAnsi="AytoRoquetas Light Condensed"/>
        </w:rPr>
        <w:t xml:space="preserve">. </w:t>
      </w:r>
    </w:p>
    <w:p w14:paraId="726C49EA" w14:textId="77777777" w:rsidR="00356C82" w:rsidRDefault="00356C82" w:rsidP="001B7C86">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5B2D76">
        <w:rPr>
          <w:rFonts w:ascii="AytoRoquetas Light Condensed" w:hAnsi="AytoRoquetas Light Condensed"/>
        </w:rPr>
        <w:t xml:space="preserve">Que el apartado 4 de la citada disposición adicional centésima décima segunda establece que: </w:t>
      </w:r>
    </w:p>
    <w:p w14:paraId="3F5C9935" w14:textId="77777777" w:rsidR="00356C82" w:rsidRDefault="00356C82" w:rsidP="001B7C86">
      <w:pPr>
        <w:pStyle w:val="Prrafodelista"/>
        <w:widowControl/>
        <w:numPr>
          <w:ilvl w:val="0"/>
          <w:numId w:val="2"/>
        </w:numPr>
        <w:autoSpaceDE/>
        <w:autoSpaceDN/>
        <w:spacing w:after="80" w:line="276" w:lineRule="auto"/>
        <w:ind w:right="45"/>
        <w:jc w:val="both"/>
        <w:rPr>
          <w:rFonts w:ascii="AytoRoquetas Light Condensed" w:hAnsi="AytoRoquetas Light Condensed"/>
        </w:rPr>
      </w:pPr>
      <w:r>
        <w:rPr>
          <w:rFonts w:ascii="AytoRoquetas Light Condensed" w:hAnsi="AytoRoquetas Light Condensed"/>
        </w:rPr>
        <w:t>“</w:t>
      </w:r>
      <w:r w:rsidRPr="005B2D76">
        <w:rPr>
          <w:rFonts w:ascii="AytoRoquetas Light Condensed" w:hAnsi="AytoRoquetas Light Condensed"/>
        </w:rPr>
        <w:t xml:space="preserve">A través de la herramienta informática se analizarán las posibles relaciones familiares o vinculaciones societarias, directas o indirectas, en las que se pueda dar un interés personal o </w:t>
      </w:r>
      <w:r w:rsidRPr="005B2D76">
        <w:rPr>
          <w:rFonts w:ascii="AytoRoquetas Light Condensed" w:hAnsi="AytoRoquetas Light Condensed"/>
        </w:rPr>
        <w:lastRenderedPageBreak/>
        <w:t>económico susceptible de provocar un conflicto de interés, entre las personas a las que se refiere el apartado anterior y los participantes en cada procedimiento</w:t>
      </w:r>
      <w:r>
        <w:rPr>
          <w:rFonts w:ascii="AytoRoquetas Light Condensed" w:hAnsi="AytoRoquetas Light Condensed"/>
        </w:rPr>
        <w:t>”</w:t>
      </w:r>
    </w:p>
    <w:p w14:paraId="5E6E6230" w14:textId="77777777" w:rsidR="00356C82" w:rsidRPr="005B2D76" w:rsidRDefault="00356C82" w:rsidP="001B7C86">
      <w:pPr>
        <w:pStyle w:val="Prrafodelista"/>
        <w:widowControl/>
        <w:numPr>
          <w:ilvl w:val="0"/>
          <w:numId w:val="2"/>
        </w:numPr>
        <w:autoSpaceDE/>
        <w:autoSpaceDN/>
        <w:spacing w:after="80" w:line="276" w:lineRule="auto"/>
        <w:ind w:right="45"/>
        <w:jc w:val="both"/>
        <w:rPr>
          <w:rFonts w:ascii="AytoRoquetas Light Condensed" w:hAnsi="AytoRoquetas Light Condensed"/>
        </w:rPr>
      </w:pPr>
      <w:r>
        <w:rPr>
          <w:rFonts w:ascii="AytoRoquetas Light Condensed" w:hAnsi="AytoRoquetas Light Condensed"/>
        </w:rPr>
        <w:t>“</w:t>
      </w:r>
      <w:r w:rsidRPr="005B2D76">
        <w:rPr>
          <w:rFonts w:ascii="AytoRoquetas Light Condensed" w:hAnsi="AytoRoquetas Light Condensed"/>
        </w:rPr>
        <w:t>Para la identificación de las relaciones o vinculaciones la herramienta contendrá, entre otros, los datos de titularidad real de las personas jurídicas a las que se refiere el artículo 22.2.d).iii) del Reglamento (UE) 241/2021, de 12 febrero, obrantes en las bases de datos de la Agencia Estatal de Administración Tributaria</w:t>
      </w:r>
      <w:r>
        <w:rPr>
          <w:rFonts w:ascii="AytoRoquetas Light Condensed" w:hAnsi="AytoRoquetas Light Condensed"/>
        </w:rPr>
        <w:t>,</w:t>
      </w:r>
      <w:r w:rsidRPr="005B2D76">
        <w:rPr>
          <w:rFonts w:ascii="AytoRoquetas Light Condensed" w:hAnsi="AytoRoquetas Light Condensed"/>
        </w:rPr>
        <w:t xml:space="preserve"> y los obtenidos a través de los convenios suscritos con los Colegios de Notarios y Registradores</w:t>
      </w:r>
      <w:r>
        <w:rPr>
          <w:rFonts w:ascii="AytoRoquetas Light Condensed" w:hAnsi="AytoRoquetas Light Condensed"/>
        </w:rPr>
        <w:t>”</w:t>
      </w:r>
      <w:r w:rsidRPr="005B2D76">
        <w:rPr>
          <w:rFonts w:ascii="AytoRoquetas Light Condensed" w:hAnsi="AytoRoquetas Light Condensed"/>
        </w:rPr>
        <w:t>.</w:t>
      </w:r>
    </w:p>
    <w:p w14:paraId="4BB9C6C5" w14:textId="77777777" w:rsidR="00356C82" w:rsidRPr="00E75EF3" w:rsidRDefault="00356C82" w:rsidP="001B7C86">
      <w:pPr>
        <w:widowControl/>
        <w:numPr>
          <w:ilvl w:val="0"/>
          <w:numId w:val="1"/>
        </w:numPr>
        <w:autoSpaceDE/>
        <w:autoSpaceDN/>
        <w:spacing w:after="80" w:line="276" w:lineRule="auto"/>
        <w:ind w:right="45" w:hanging="361"/>
        <w:contextualSpacing/>
        <w:jc w:val="both"/>
        <w:rPr>
          <w:rFonts w:ascii="AytoRoquetas Light Condensed" w:hAnsi="AytoRoquetas Light Condensed"/>
        </w:rPr>
      </w:pPr>
      <w:r w:rsidRPr="00E75EF3">
        <w:rPr>
          <w:rFonts w:ascii="AytoRoquetas Light Condensed" w:hAnsi="AytoRoquetas Light Condensed"/>
        </w:rPr>
        <w:t xml:space="preserve">Que el artículo 23 «Abstención», de la Ley 40/2015, de 1 octubre, de Régimen Jurídico del Sector Público, establece que deberán abstenerse de intervenir en el procedimiento «las autoridades y el personal al servicio de las Administraciones en quienes se den algunas de las circunstancias señaladas en el apartado siguiente», siendo éstas: </w:t>
      </w:r>
    </w:p>
    <w:p w14:paraId="310B4CA8" w14:textId="77777777" w:rsidR="00356C82" w:rsidRPr="00E75EF3" w:rsidRDefault="00356C82" w:rsidP="001B7C86">
      <w:pPr>
        <w:widowControl/>
        <w:numPr>
          <w:ilvl w:val="1"/>
          <w:numId w:val="1"/>
        </w:numPr>
        <w:autoSpaceDE/>
        <w:autoSpaceDN/>
        <w:spacing w:after="80" w:line="276" w:lineRule="auto"/>
        <w:ind w:left="798" w:right="45" w:hanging="437"/>
        <w:contextualSpacing/>
        <w:jc w:val="both"/>
        <w:rPr>
          <w:rFonts w:ascii="AytoRoquetas Light Condensed" w:hAnsi="AytoRoquetas Light Condensed"/>
        </w:rPr>
      </w:pPr>
      <w:r w:rsidRPr="00E75EF3">
        <w:rPr>
          <w:rFonts w:ascii="AytoRoquetas Light Condensed" w:hAnsi="AytoRoquetas Light Condensed"/>
        </w:rPr>
        <w:t xml:space="preserve">Tener interés personal en el asunto de que se trate o en otro en cuya resolución pudiera influir la de aquél; ser administrador de sociedad o entidad interesada, o tener cuestión litigiosa pendiente con algún interesado. </w:t>
      </w:r>
    </w:p>
    <w:p w14:paraId="1988A1C0" w14:textId="77777777" w:rsidR="00356C82" w:rsidRPr="00E75EF3" w:rsidRDefault="00356C82" w:rsidP="001B7C86">
      <w:pPr>
        <w:widowControl/>
        <w:numPr>
          <w:ilvl w:val="1"/>
          <w:numId w:val="1"/>
        </w:numPr>
        <w:autoSpaceDE/>
        <w:autoSpaceDN/>
        <w:spacing w:after="33"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un vínculo matrimonial o situación de hecho asimilable y el parentesco de consanguinidad dentro del cuarto grado o de afinidad dentro del segundo, con cualquiera de los interesados, con los administradores de entidades o sociedades interesadas y también con los asesores, representantes legales o mandatarios que intervengan en el procedimiento, así como compartir despacho profesional o estar asociado con éstos para el asesoramiento, la representación o el mandato. </w:t>
      </w:r>
    </w:p>
    <w:p w14:paraId="29B1F8A0" w14:textId="77777777" w:rsidR="00356C82" w:rsidRPr="00E75EF3" w:rsidRDefault="00356C82" w:rsidP="001B7C86">
      <w:pPr>
        <w:widowControl/>
        <w:numPr>
          <w:ilvl w:val="1"/>
          <w:numId w:val="1"/>
        </w:numPr>
        <w:autoSpaceDE/>
        <w:autoSpaceDN/>
        <w:spacing w:after="32"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amistad íntima o enemistad manifiesta con alguna de las personas mencionadas en el apartado anterior. </w:t>
      </w:r>
    </w:p>
    <w:p w14:paraId="2B9BDC9B" w14:textId="77777777" w:rsidR="00356C82" w:rsidRPr="00E75EF3" w:rsidRDefault="00356C82" w:rsidP="001B7C86">
      <w:pPr>
        <w:widowControl/>
        <w:numPr>
          <w:ilvl w:val="1"/>
          <w:numId w:val="1"/>
        </w:numPr>
        <w:autoSpaceDE/>
        <w:autoSpaceDN/>
        <w:spacing w:after="38"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Haber intervenido como perito o como testigo en el procedimiento de que se trate. </w:t>
      </w:r>
    </w:p>
    <w:p w14:paraId="156AEEEB" w14:textId="77777777" w:rsidR="00356C82" w:rsidRPr="00E75EF3" w:rsidRDefault="00356C82" w:rsidP="001B7C86">
      <w:pPr>
        <w:widowControl/>
        <w:numPr>
          <w:ilvl w:val="1"/>
          <w:numId w:val="1"/>
        </w:numPr>
        <w:autoSpaceDE/>
        <w:autoSpaceDN/>
        <w:spacing w:after="243"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relación de servicio con persona natural o jurídica interesada directamente en el asunto, o haberle prestado en los dos últimos años servicios profesionales de cualquier tipo y en cualquier circunstancia o lugar. </w:t>
      </w:r>
    </w:p>
    <w:p w14:paraId="7D96BFAF" w14:textId="77777777" w:rsidR="00B94BDC" w:rsidRDefault="00B94BDC" w:rsidP="001B7C86">
      <w:pPr>
        <w:spacing w:line="276" w:lineRule="auto"/>
        <w:ind w:right="44"/>
        <w:contextualSpacing/>
        <w:jc w:val="both"/>
        <w:rPr>
          <w:rFonts w:ascii="AytoRoquetas Light Condensed" w:hAnsi="AytoRoquetas Light Condensed"/>
          <w:b/>
          <w:bCs/>
        </w:rPr>
      </w:pPr>
    </w:p>
    <w:p w14:paraId="425C6139" w14:textId="00F978AA" w:rsidR="00356C82" w:rsidRDefault="00356C82" w:rsidP="001B7C86">
      <w:pPr>
        <w:spacing w:line="276" w:lineRule="auto"/>
        <w:ind w:right="44"/>
        <w:contextualSpacing/>
        <w:jc w:val="both"/>
        <w:rPr>
          <w:rFonts w:ascii="AytoRoquetas Light Condensed" w:hAnsi="AytoRoquetas Light Condensed"/>
        </w:rPr>
      </w:pPr>
      <w:r w:rsidRPr="00E75EF3">
        <w:rPr>
          <w:rFonts w:ascii="AytoRoquetas Light Condensed" w:hAnsi="AytoRoquetas Light Condensed"/>
          <w:b/>
          <w:bCs/>
        </w:rPr>
        <w:t>Segundo</w:t>
      </w:r>
      <w:r w:rsidRPr="00E75EF3">
        <w:rPr>
          <w:rFonts w:ascii="AytoRoquetas Light Condensed" w:hAnsi="AytoRoquetas Light Condensed"/>
        </w:rPr>
        <w:t>. Que</w:t>
      </w:r>
      <w:r>
        <w:t>,</w:t>
      </w:r>
      <w:r w:rsidRPr="005B2D76">
        <w:rPr>
          <w:rFonts w:ascii="AytoRoquetas Light Condensed" w:hAnsi="AytoRoquetas Light Condensed"/>
        </w:rPr>
        <w:t xml:space="preserve"> en el momento de la firma de esta declaración y a la luz de la información obrante</w:t>
      </w:r>
      <w:r>
        <w:rPr>
          <w:rFonts w:ascii="AytoRoquetas Light Condensed" w:hAnsi="AytoRoquetas Light Condensed"/>
        </w:rPr>
        <w:t xml:space="preserve"> e</w:t>
      </w:r>
      <w:r w:rsidRPr="005B2D76">
        <w:rPr>
          <w:rFonts w:ascii="AytoRoquetas Light Condensed" w:hAnsi="AytoRoquetas Light Condensed"/>
        </w:rPr>
        <w:t xml:space="preserve">n su poder, no se encuentra/n incurso/s en ninguna situación que pueda calificarse de conflicto de interés, en los términos previstos en el apartado cuatro de la </w:t>
      </w:r>
      <w:r>
        <w:rPr>
          <w:rFonts w:ascii="AytoRoquetas Light Condensed" w:hAnsi="AytoRoquetas Light Condensed"/>
        </w:rPr>
        <w:t xml:space="preserve">citada </w:t>
      </w:r>
      <w:r w:rsidRPr="005B2D76">
        <w:rPr>
          <w:rFonts w:ascii="AytoRoquetas Light Condensed" w:hAnsi="AytoRoquetas Light Condensed"/>
        </w:rPr>
        <w:t xml:space="preserve">disposición adicional centésima décima segunda </w:t>
      </w:r>
      <w:r w:rsidRPr="00B962E6">
        <w:rPr>
          <w:rFonts w:ascii="AytoRoquetas Light Condensed" w:hAnsi="AytoRoquetas Light Condensed"/>
        </w:rPr>
        <w:t>de la Ley 31/2022, de 23 de diciembre, de Presupuestos Generales del Estado para 2023</w:t>
      </w:r>
      <w:r>
        <w:rPr>
          <w:rFonts w:ascii="AytoRoquetas Light Condensed" w:hAnsi="AytoRoquetas Light Condensed"/>
        </w:rPr>
        <w:t>, y en los términos de</w:t>
      </w:r>
      <w:r w:rsidRPr="00E75EF3">
        <w:rPr>
          <w:rFonts w:ascii="AytoRoquetas Light Condensed" w:hAnsi="AytoRoquetas Light Condensed"/>
        </w:rPr>
        <w:t xml:space="preserve"> las indicadas en el artículo 61.3 del Reglamento Financiero de la UE</w:t>
      </w:r>
      <w:r>
        <w:rPr>
          <w:rFonts w:ascii="AytoRoquetas Light Condensed" w:hAnsi="AytoRoquetas Light Condensed"/>
        </w:rPr>
        <w:t>,</w:t>
      </w:r>
      <w:r w:rsidRPr="00E75EF3">
        <w:rPr>
          <w:rFonts w:ascii="AytoRoquetas Light Condensed" w:hAnsi="AytoRoquetas Light Condensed"/>
        </w:rPr>
        <w:t xml:space="preserve"> y que </w:t>
      </w:r>
      <w:r>
        <w:rPr>
          <w:rFonts w:ascii="AytoRoquetas Light Condensed" w:hAnsi="AytoRoquetas Light Condensed"/>
        </w:rPr>
        <w:t xml:space="preserve">asimismo </w:t>
      </w:r>
      <w:r w:rsidRPr="00E75EF3">
        <w:rPr>
          <w:rFonts w:ascii="AytoRoquetas Light Condensed" w:hAnsi="AytoRoquetas Light Condensed"/>
        </w:rPr>
        <w:t>no concurre en su/s persona/s ninguna causa de abstención del artículo 23.2 de la Ley 40/2015, de 1 de octubre, que pueda afectar al procedimiento de licitación.</w:t>
      </w:r>
    </w:p>
    <w:p w14:paraId="6D0A95DB" w14:textId="77777777" w:rsidR="00356C82" w:rsidRPr="00E75EF3" w:rsidRDefault="00356C82" w:rsidP="001B7C86">
      <w:pPr>
        <w:spacing w:line="276" w:lineRule="auto"/>
        <w:ind w:left="87" w:right="44"/>
        <w:contextualSpacing/>
        <w:jc w:val="both"/>
        <w:rPr>
          <w:rFonts w:ascii="AytoRoquetas Light Condensed" w:hAnsi="AytoRoquetas Light Condensed"/>
        </w:rPr>
      </w:pPr>
    </w:p>
    <w:p w14:paraId="4A23DDB5" w14:textId="77777777" w:rsidR="00356C82" w:rsidRDefault="00356C82" w:rsidP="001B7C86">
      <w:pPr>
        <w:spacing w:line="276" w:lineRule="auto"/>
        <w:ind w:left="-5" w:right="44"/>
        <w:contextualSpacing/>
        <w:jc w:val="both"/>
        <w:rPr>
          <w:rFonts w:ascii="AytoRoquetas Light Condensed" w:hAnsi="AytoRoquetas Light Condensed"/>
        </w:rPr>
      </w:pPr>
      <w:r w:rsidRPr="00E75EF3">
        <w:rPr>
          <w:rFonts w:ascii="AytoRoquetas Light Condensed" w:hAnsi="AytoRoquetas Light Condensed"/>
          <w:b/>
          <w:bCs/>
        </w:rPr>
        <w:t>Tercero</w:t>
      </w:r>
      <w:r w:rsidRPr="00E75EF3">
        <w:rPr>
          <w:rFonts w:ascii="AytoRoquetas Light Condensed" w:hAnsi="AytoRoquetas Light Condensed"/>
        </w:rPr>
        <w:t>. Que se compromete/n a poner en conocimiento del órgano de contratación/comisión de evaluación, sin dilación, cualquier situación de conflicto de intereses o causa de abstención que dé o pudiera dar lugar a dicho escenario</w:t>
      </w:r>
      <w:r>
        <w:rPr>
          <w:rFonts w:ascii="AytoRoquetas Light Condensed" w:hAnsi="AytoRoquetas Light Condensed"/>
        </w:rPr>
        <w:t>,</w:t>
      </w:r>
      <w:r w:rsidRPr="00E75EF3">
        <w:rPr>
          <w:rFonts w:ascii="AytoRoquetas Light Condensed" w:hAnsi="AytoRoquetas Light Condensed"/>
        </w:rPr>
        <w:t xml:space="preserve"> </w:t>
      </w:r>
      <w:r w:rsidRPr="00B962E6">
        <w:rPr>
          <w:rFonts w:ascii="AytoRoquetas Light Condensed" w:hAnsi="AytoRoquetas Light Condensed"/>
        </w:rPr>
        <w:t>en cualquier momento del procedimiento</w:t>
      </w:r>
      <w:r>
        <w:rPr>
          <w:rFonts w:ascii="AytoRoquetas Light Condensed" w:hAnsi="AytoRoquetas Light Condensed"/>
        </w:rPr>
        <w:t xml:space="preserve"> </w:t>
      </w:r>
      <w:r w:rsidRPr="00B962E6">
        <w:rPr>
          <w:rFonts w:ascii="AytoRoquetas Light Condensed" w:hAnsi="AytoRoquetas Light Condensed"/>
        </w:rPr>
        <w:t>en curso</w:t>
      </w:r>
      <w:r>
        <w:rPr>
          <w:rFonts w:ascii="AytoRoquetas Light Condensed" w:hAnsi="AytoRoquetas Light Condensed"/>
        </w:rPr>
        <w:t>.</w:t>
      </w:r>
    </w:p>
    <w:p w14:paraId="5CFD3900" w14:textId="77777777" w:rsidR="00356C82" w:rsidRPr="00E75EF3" w:rsidRDefault="00356C82" w:rsidP="001B7C86">
      <w:pPr>
        <w:spacing w:line="276" w:lineRule="auto"/>
        <w:ind w:left="-5" w:right="44"/>
        <w:contextualSpacing/>
        <w:jc w:val="both"/>
        <w:rPr>
          <w:rFonts w:ascii="AytoRoquetas Light Condensed" w:hAnsi="AytoRoquetas Light Condensed"/>
        </w:rPr>
      </w:pPr>
    </w:p>
    <w:p w14:paraId="7980A371" w14:textId="77777777" w:rsidR="00356C82" w:rsidRDefault="00356C82" w:rsidP="001B7C86">
      <w:pPr>
        <w:spacing w:line="276" w:lineRule="auto"/>
        <w:ind w:left="-5" w:right="44"/>
        <w:contextualSpacing/>
        <w:jc w:val="both"/>
        <w:rPr>
          <w:rFonts w:ascii="AytoRoquetas Light Condensed" w:hAnsi="AytoRoquetas Light Condensed"/>
        </w:rPr>
      </w:pPr>
      <w:r w:rsidRPr="00E75EF3">
        <w:rPr>
          <w:rFonts w:ascii="AytoRoquetas Light Condensed" w:hAnsi="AytoRoquetas Light Condensed"/>
          <w:b/>
          <w:bCs/>
        </w:rPr>
        <w:t>Cuarto</w:t>
      </w:r>
      <w:r w:rsidRPr="00E75EF3">
        <w:rPr>
          <w:rFonts w:ascii="AytoRoquetas Light Condensed" w:hAnsi="AytoRoquetas Light Condensed"/>
        </w:rPr>
        <w:t xml:space="preserve">. Conozco que, una declaración de ausencia de conflicto de intereses que se demuestre que sea falsa, acarreará las consecuencias disciplinarias/administrativas/judiciales que establezca la normativa de aplicación. </w:t>
      </w:r>
    </w:p>
    <w:p w14:paraId="570B1C36" w14:textId="77777777" w:rsidR="00356C82" w:rsidRDefault="00356C82" w:rsidP="001B7C86">
      <w:pPr>
        <w:spacing w:line="276" w:lineRule="auto"/>
        <w:ind w:left="-5" w:right="44"/>
        <w:contextualSpacing/>
        <w:jc w:val="both"/>
        <w:rPr>
          <w:rFonts w:ascii="AytoRoquetas Light Condensed" w:hAnsi="AytoRoquetas Light Condensed"/>
        </w:rPr>
      </w:pPr>
    </w:p>
    <w:p w14:paraId="231EECAD" w14:textId="74845B18" w:rsidR="00356C82" w:rsidRDefault="001C5367" w:rsidP="001B7C86">
      <w:pPr>
        <w:spacing w:line="276" w:lineRule="auto"/>
        <w:ind w:left="-5" w:right="44"/>
        <w:contextualSpacing/>
        <w:jc w:val="center"/>
        <w:rPr>
          <w:rFonts w:ascii="AytoRoquetas Light Condensed" w:hAnsi="AytoRoquetas Light Condensed"/>
        </w:rPr>
      </w:pPr>
      <w:r>
        <w:rPr>
          <w:rFonts w:ascii="AytoRoquetas Light Condensed" w:hAnsi="AytoRoquetas Light Condensed"/>
        </w:rPr>
        <w:t>La Interventora</w:t>
      </w:r>
      <w:r w:rsidR="0040497C">
        <w:rPr>
          <w:rFonts w:ascii="AytoRoquetas Light Condensed" w:hAnsi="AytoRoquetas Light Condensed"/>
        </w:rPr>
        <w:t xml:space="preserve"> del Consorcio</w:t>
      </w:r>
    </w:p>
    <w:p w14:paraId="5D6D3511" w14:textId="4DDD1EA5" w:rsidR="0040497C" w:rsidRPr="00B63F1B" w:rsidRDefault="001C5367" w:rsidP="001B7C86">
      <w:pPr>
        <w:spacing w:line="276" w:lineRule="auto"/>
        <w:ind w:left="-5" w:right="44"/>
        <w:contextualSpacing/>
        <w:jc w:val="center"/>
        <w:rPr>
          <w:rFonts w:ascii="AytoRoquetas Light Condensed" w:hAnsi="AytoRoquetas Light Condensed"/>
        </w:rPr>
      </w:pPr>
      <w:r>
        <w:rPr>
          <w:rFonts w:ascii="AytoRoquetas Light Condensed" w:hAnsi="AytoRoquetas Light Condensed"/>
        </w:rPr>
        <w:t>Dolores del Pilar González Espinosa</w:t>
      </w:r>
    </w:p>
    <w:p w14:paraId="746A6131" w14:textId="77777777" w:rsidR="00356C82" w:rsidRDefault="00356C82" w:rsidP="001B7C86">
      <w:pPr>
        <w:spacing w:after="271" w:line="276" w:lineRule="auto"/>
        <w:ind w:right="54"/>
        <w:contextualSpacing/>
        <w:jc w:val="both"/>
        <w:rPr>
          <w:rFonts w:ascii="AytoRoquetas Light Condensed" w:hAnsi="AytoRoquetas Light Condensed"/>
        </w:rPr>
      </w:pPr>
    </w:p>
    <w:p w14:paraId="05ED890B" w14:textId="6C0CBD8E" w:rsidR="00DB0F8D" w:rsidRPr="007A7A16" w:rsidRDefault="00356C82" w:rsidP="001B7C86">
      <w:pPr>
        <w:spacing w:after="271" w:line="276" w:lineRule="auto"/>
        <w:ind w:right="54"/>
        <w:contextualSpacing/>
        <w:jc w:val="both"/>
        <w:rPr>
          <w:rFonts w:ascii="AytoRoquetas Light Condensed" w:hAnsi="AytoRoquetas Light Condensed"/>
          <w:i/>
          <w:iCs/>
        </w:rPr>
      </w:pPr>
      <w:r w:rsidRPr="007A7A16">
        <w:rPr>
          <w:rFonts w:ascii="AytoRoquetas Light Condensed" w:hAnsi="AytoRoquetas Light Condensed"/>
          <w:i/>
          <w:iCs/>
        </w:rPr>
        <w:t>El presente documento ha sido firmado electrónicamente de acuerdo con lo establecido en la Ley 40/2015, de 1 de octubre, de Régimen Jurídico del Sector Público, por l</w:t>
      </w:r>
      <w:r w:rsidR="00F87D73">
        <w:rPr>
          <w:rFonts w:ascii="AytoRoquetas Light Condensed" w:hAnsi="AytoRoquetas Light Condensed"/>
          <w:i/>
          <w:iCs/>
        </w:rPr>
        <w:t>a</w:t>
      </w:r>
      <w:r w:rsidRPr="007A7A16">
        <w:rPr>
          <w:rFonts w:ascii="AytoRoquetas Light Condensed" w:hAnsi="AytoRoquetas Light Condensed"/>
          <w:i/>
          <w:iCs/>
        </w:rPr>
        <w:t xml:space="preserve"> funcionari</w:t>
      </w:r>
      <w:r w:rsidR="00F87D73">
        <w:rPr>
          <w:rFonts w:ascii="AytoRoquetas Light Condensed" w:hAnsi="AytoRoquetas Light Condensed"/>
          <w:i/>
          <w:iCs/>
        </w:rPr>
        <w:t>a</w:t>
      </w:r>
      <w:r w:rsidRPr="007A7A16">
        <w:rPr>
          <w:rFonts w:ascii="AytoRoquetas Light Condensed" w:hAnsi="AytoRoquetas Light Condensed"/>
          <w:i/>
          <w:iCs/>
        </w:rPr>
        <w:t xml:space="preserve"> públic</w:t>
      </w:r>
      <w:r w:rsidR="00F87D73">
        <w:rPr>
          <w:rFonts w:ascii="AytoRoquetas Light Condensed" w:hAnsi="AytoRoquetas Light Condensed"/>
          <w:i/>
          <w:iCs/>
        </w:rPr>
        <w:t>a</w:t>
      </w:r>
      <w:r w:rsidRPr="007A7A16">
        <w:rPr>
          <w:rFonts w:ascii="AytoRoquetas Light Condensed" w:hAnsi="AytoRoquetas Light Condensed"/>
          <w:i/>
          <w:iCs/>
        </w:rPr>
        <w:t xml:space="preserve"> en la fecha que se indica al margen del mismo, cuya autenticidad e integridad puede verificarse a través del código seguro.</w:t>
      </w:r>
    </w:p>
    <w:sectPr w:rsidR="00DB0F8D" w:rsidRPr="007A7A1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B39EF" w14:textId="77777777" w:rsidR="00356C82" w:rsidRDefault="00356C82" w:rsidP="00356C82">
      <w:r>
        <w:separator/>
      </w:r>
    </w:p>
  </w:endnote>
  <w:endnote w:type="continuationSeparator" w:id="0">
    <w:p w14:paraId="5CB7D8F1" w14:textId="77777777" w:rsidR="00356C82" w:rsidRDefault="00356C82" w:rsidP="00356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ytoRoquetas Light Condensed">
    <w:altName w:val="Calibri"/>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ytoRoquetasLightCondensed">
    <w:altName w:val="Calibri"/>
    <w:panose1 w:val="00000000000000000000"/>
    <w:charset w:val="00"/>
    <w:family w:val="auto"/>
    <w:notTrueType/>
    <w:pitch w:val="default"/>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66D19" w14:textId="77777777" w:rsidR="00356C82" w:rsidRDefault="00356C82" w:rsidP="00356C82">
      <w:r>
        <w:separator/>
      </w:r>
    </w:p>
  </w:footnote>
  <w:footnote w:type="continuationSeparator" w:id="0">
    <w:p w14:paraId="7D403314" w14:textId="77777777" w:rsidR="00356C82" w:rsidRDefault="00356C82" w:rsidP="00356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F3D28" w14:textId="77777777" w:rsidR="00356C82" w:rsidRDefault="00356C82" w:rsidP="00356C82">
    <w:pPr>
      <w:pStyle w:val="Encabezado"/>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6"/>
      <w:gridCol w:w="2551"/>
    </w:tblGrid>
    <w:tr w:rsidR="00356C82" w:rsidRPr="006C605C" w14:paraId="47C89BEE" w14:textId="77777777" w:rsidTr="00B4216B">
      <w:trPr>
        <w:trHeight w:val="546"/>
      </w:trPr>
      <w:tc>
        <w:tcPr>
          <w:tcW w:w="6516" w:type="dxa"/>
          <w:vMerge w:val="restart"/>
        </w:tcPr>
        <w:p w14:paraId="3D19F8D4" w14:textId="77777777" w:rsidR="00356C82" w:rsidRPr="00C227CB" w:rsidRDefault="00356C82" w:rsidP="00356C82">
          <w:pPr>
            <w:tabs>
              <w:tab w:val="left" w:pos="5561"/>
            </w:tabs>
            <w:rPr>
              <w:sz w:val="10"/>
              <w:szCs w:val="10"/>
            </w:rPr>
          </w:pPr>
          <w:r w:rsidRPr="007C127F">
            <w:rPr>
              <w:noProof/>
            </w:rPr>
            <w:drawing>
              <wp:inline distT="0" distB="0" distL="0" distR="0" wp14:anchorId="4B4A03DB" wp14:editId="7182C46B">
                <wp:extent cx="3620513" cy="839972"/>
                <wp:effectExtent l="0" t="0" r="0" b="0"/>
                <wp:docPr id="2" name="Imagen 2" descr="C:\Users\KG000505\AppData\Local\Microsoft\Windows\INetCache\Content.Word\LOGO-MINISTERIO-2 FONDOS EUROPEOS CON DOS SECRETARIAS Y TPR.jpg"/>
                <wp:cNvGraphicFramePr/>
                <a:graphic xmlns:a="http://schemas.openxmlformats.org/drawingml/2006/main">
                  <a:graphicData uri="http://schemas.openxmlformats.org/drawingml/2006/picture">
                    <pic:pic xmlns:pic="http://schemas.openxmlformats.org/drawingml/2006/picture">
                      <pic:nvPicPr>
                        <pic:cNvPr id="2" name="Imagen 2" descr="C:\Users\KG000505\AppData\Local\Microsoft\Windows\INetCache\Content.Word\LOGO-MINISTERIO-2 FONDOS EUROPEOS CON DOS SECRETARIAS Y TPR.jpg"/>
                        <pic:cNvPicPr/>
                      </pic:nvPicPr>
                      <pic:blipFill rotWithShape="1">
                        <a:blip r:embed="rId1" cstate="print">
                          <a:extLst>
                            <a:ext uri="{28A0092B-C50C-407E-A947-70E740481C1C}">
                              <a14:useLocalDpi xmlns:a14="http://schemas.microsoft.com/office/drawing/2010/main" val="0"/>
                            </a:ext>
                          </a:extLst>
                        </a:blip>
                        <a:srcRect r="22304"/>
                        <a:stretch/>
                      </pic:blipFill>
                      <pic:spPr bwMode="auto">
                        <a:xfrm>
                          <a:off x="0" y="0"/>
                          <a:ext cx="3818935" cy="8860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51" w:type="dxa"/>
          <w:shd w:val="clear" w:color="auto" w:fill="FFFFFF" w:themeFill="background1"/>
          <w:vAlign w:val="center"/>
        </w:tcPr>
        <w:p w14:paraId="286BB9EE" w14:textId="77777777" w:rsidR="00356C82" w:rsidRPr="00C227CB" w:rsidRDefault="00356C82" w:rsidP="00356C82">
          <w:pPr>
            <w:tabs>
              <w:tab w:val="left" w:pos="5561"/>
            </w:tabs>
            <w:jc w:val="right"/>
            <w:rPr>
              <w:sz w:val="10"/>
              <w:szCs w:val="10"/>
            </w:rPr>
          </w:pPr>
          <w:r>
            <w:rPr>
              <w:noProof/>
            </w:rPr>
            <w:drawing>
              <wp:inline distT="0" distB="0" distL="0" distR="0" wp14:anchorId="40B6313C" wp14:editId="288BA816">
                <wp:extent cx="1419149" cy="347239"/>
                <wp:effectExtent l="0" t="0" r="0" b="0"/>
                <wp:docPr id="467" name="Imagen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419149" cy="347239"/>
                        </a:xfrm>
                        <a:prstGeom prst="rect">
                          <a:avLst/>
                        </a:prstGeom>
                      </pic:spPr>
                    </pic:pic>
                  </a:graphicData>
                </a:graphic>
              </wp:inline>
            </w:drawing>
          </w:r>
        </w:p>
      </w:tc>
    </w:tr>
    <w:tr w:rsidR="00356C82" w:rsidRPr="00745840" w14:paraId="577932B2" w14:textId="77777777" w:rsidTr="00B4216B">
      <w:trPr>
        <w:trHeight w:val="1001"/>
      </w:trPr>
      <w:tc>
        <w:tcPr>
          <w:tcW w:w="6516" w:type="dxa"/>
          <w:vMerge/>
        </w:tcPr>
        <w:p w14:paraId="7612C356" w14:textId="77777777" w:rsidR="00356C82" w:rsidRPr="00C227CB" w:rsidRDefault="00356C82" w:rsidP="00356C82">
          <w:pPr>
            <w:tabs>
              <w:tab w:val="left" w:pos="5561"/>
            </w:tabs>
            <w:rPr>
              <w:rFonts w:ascii="Gill Sans MT" w:hAnsi="Gill Sans MT"/>
              <w:noProof/>
              <w:sz w:val="14"/>
              <w:szCs w:val="14"/>
            </w:rPr>
          </w:pPr>
        </w:p>
      </w:tc>
      <w:tc>
        <w:tcPr>
          <w:tcW w:w="2551" w:type="dxa"/>
          <w:shd w:val="clear" w:color="auto" w:fill="FFFFFF" w:themeFill="background1"/>
        </w:tcPr>
        <w:p w14:paraId="48DCBE31" w14:textId="77777777" w:rsidR="00356C82" w:rsidRPr="00C227CB" w:rsidRDefault="00356C82" w:rsidP="00356C82">
          <w:pPr>
            <w:tabs>
              <w:tab w:val="left" w:pos="5561"/>
            </w:tabs>
            <w:jc w:val="right"/>
            <w:rPr>
              <w:rFonts w:ascii="Gill Sans MT" w:hAnsi="Gill Sans MT"/>
              <w:noProof/>
              <w:sz w:val="14"/>
              <w:szCs w:val="14"/>
            </w:rPr>
          </w:pPr>
          <w:r>
            <w:rPr>
              <w:noProof/>
            </w:rPr>
            <w:drawing>
              <wp:inline distT="0" distB="0" distL="0" distR="0" wp14:anchorId="10BC0CF1" wp14:editId="19492ED4">
                <wp:extent cx="1221299" cy="572217"/>
                <wp:effectExtent l="0" t="0" r="0" b="0"/>
                <wp:docPr id="468" name="Imagen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265296" cy="592831"/>
                        </a:xfrm>
                        <a:prstGeom prst="rect">
                          <a:avLst/>
                        </a:prstGeom>
                      </pic:spPr>
                    </pic:pic>
                  </a:graphicData>
                </a:graphic>
              </wp:inline>
            </w:drawing>
          </w:r>
        </w:p>
      </w:tc>
    </w:tr>
  </w:tbl>
  <w:p w14:paraId="5F9AA8C9" w14:textId="77777777" w:rsidR="00356C82" w:rsidRPr="00FE5CDB" w:rsidRDefault="00356C82" w:rsidP="00356C82">
    <w:pPr>
      <w:tabs>
        <w:tab w:val="left" w:pos="5561"/>
      </w:tabs>
      <w:spacing w:before="97"/>
      <w:ind w:right="38"/>
      <w:rPr>
        <w:sz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332C5E"/>
    <w:multiLevelType w:val="hybridMultilevel"/>
    <w:tmpl w:val="90DE3C0E"/>
    <w:lvl w:ilvl="0" w:tplc="9504268E">
      <w:start w:val="3"/>
      <w:numFmt w:val="bullet"/>
      <w:lvlText w:val="-"/>
      <w:lvlJc w:val="left"/>
      <w:pPr>
        <w:ind w:left="721" w:hanging="360"/>
      </w:pPr>
      <w:rPr>
        <w:rFonts w:ascii="AytoRoquetas Light Condensed" w:eastAsia="Arial" w:hAnsi="AytoRoquetas Light Condensed" w:cs="Arial" w:hint="default"/>
      </w:rPr>
    </w:lvl>
    <w:lvl w:ilvl="1" w:tplc="0C0A0003" w:tentative="1">
      <w:start w:val="1"/>
      <w:numFmt w:val="bullet"/>
      <w:lvlText w:val="o"/>
      <w:lvlJc w:val="left"/>
      <w:pPr>
        <w:ind w:left="1441" w:hanging="360"/>
      </w:pPr>
      <w:rPr>
        <w:rFonts w:ascii="Courier New" w:hAnsi="Courier New" w:cs="Courier New" w:hint="default"/>
      </w:rPr>
    </w:lvl>
    <w:lvl w:ilvl="2" w:tplc="0C0A0005" w:tentative="1">
      <w:start w:val="1"/>
      <w:numFmt w:val="bullet"/>
      <w:lvlText w:val=""/>
      <w:lvlJc w:val="left"/>
      <w:pPr>
        <w:ind w:left="2161" w:hanging="360"/>
      </w:pPr>
      <w:rPr>
        <w:rFonts w:ascii="Wingdings" w:hAnsi="Wingdings" w:hint="default"/>
      </w:rPr>
    </w:lvl>
    <w:lvl w:ilvl="3" w:tplc="0C0A0001" w:tentative="1">
      <w:start w:val="1"/>
      <w:numFmt w:val="bullet"/>
      <w:lvlText w:val=""/>
      <w:lvlJc w:val="left"/>
      <w:pPr>
        <w:ind w:left="2881" w:hanging="360"/>
      </w:pPr>
      <w:rPr>
        <w:rFonts w:ascii="Symbol" w:hAnsi="Symbol" w:hint="default"/>
      </w:rPr>
    </w:lvl>
    <w:lvl w:ilvl="4" w:tplc="0C0A0003" w:tentative="1">
      <w:start w:val="1"/>
      <w:numFmt w:val="bullet"/>
      <w:lvlText w:val="o"/>
      <w:lvlJc w:val="left"/>
      <w:pPr>
        <w:ind w:left="3601" w:hanging="360"/>
      </w:pPr>
      <w:rPr>
        <w:rFonts w:ascii="Courier New" w:hAnsi="Courier New" w:cs="Courier New" w:hint="default"/>
      </w:rPr>
    </w:lvl>
    <w:lvl w:ilvl="5" w:tplc="0C0A0005" w:tentative="1">
      <w:start w:val="1"/>
      <w:numFmt w:val="bullet"/>
      <w:lvlText w:val=""/>
      <w:lvlJc w:val="left"/>
      <w:pPr>
        <w:ind w:left="4321" w:hanging="360"/>
      </w:pPr>
      <w:rPr>
        <w:rFonts w:ascii="Wingdings" w:hAnsi="Wingdings" w:hint="default"/>
      </w:rPr>
    </w:lvl>
    <w:lvl w:ilvl="6" w:tplc="0C0A0001" w:tentative="1">
      <w:start w:val="1"/>
      <w:numFmt w:val="bullet"/>
      <w:lvlText w:val=""/>
      <w:lvlJc w:val="left"/>
      <w:pPr>
        <w:ind w:left="5041" w:hanging="360"/>
      </w:pPr>
      <w:rPr>
        <w:rFonts w:ascii="Symbol" w:hAnsi="Symbol" w:hint="default"/>
      </w:rPr>
    </w:lvl>
    <w:lvl w:ilvl="7" w:tplc="0C0A0003" w:tentative="1">
      <w:start w:val="1"/>
      <w:numFmt w:val="bullet"/>
      <w:lvlText w:val="o"/>
      <w:lvlJc w:val="left"/>
      <w:pPr>
        <w:ind w:left="5761" w:hanging="360"/>
      </w:pPr>
      <w:rPr>
        <w:rFonts w:ascii="Courier New" w:hAnsi="Courier New" w:cs="Courier New" w:hint="default"/>
      </w:rPr>
    </w:lvl>
    <w:lvl w:ilvl="8" w:tplc="0C0A0005" w:tentative="1">
      <w:start w:val="1"/>
      <w:numFmt w:val="bullet"/>
      <w:lvlText w:val=""/>
      <w:lvlJc w:val="left"/>
      <w:pPr>
        <w:ind w:left="6481" w:hanging="360"/>
      </w:pPr>
      <w:rPr>
        <w:rFonts w:ascii="Wingdings" w:hAnsi="Wingdings" w:hint="default"/>
      </w:rPr>
    </w:lvl>
  </w:abstractNum>
  <w:abstractNum w:abstractNumId="1" w15:restartNumberingAfterBreak="0">
    <w:nsid w:val="605D18B8"/>
    <w:multiLevelType w:val="hybridMultilevel"/>
    <w:tmpl w:val="200E35FC"/>
    <w:lvl w:ilvl="0" w:tplc="7A0C81E2">
      <w:start w:val="1"/>
      <w:numFmt w:val="decimal"/>
      <w:lvlText w:val="%1."/>
      <w:lvlJc w:val="left"/>
      <w:pPr>
        <w:ind w:left="361"/>
      </w:pPr>
      <w:rPr>
        <w:rFonts w:ascii="AytoRoquetas Light Condensed" w:eastAsia="Arial" w:hAnsi="AytoRoquetas Light Condensed" w:cs="Arial"/>
        <w:b w:val="0"/>
        <w:i w:val="0"/>
        <w:strike w:val="0"/>
        <w:dstrike w:val="0"/>
        <w:color w:val="000000"/>
        <w:sz w:val="22"/>
        <w:szCs w:val="22"/>
        <w:u w:val="none" w:color="000000"/>
        <w:bdr w:val="none" w:sz="0" w:space="0" w:color="auto"/>
        <w:shd w:val="clear" w:color="auto" w:fill="auto"/>
        <w:vertAlign w:val="baseline"/>
      </w:rPr>
    </w:lvl>
    <w:lvl w:ilvl="1" w:tplc="8DB03BA8">
      <w:start w:val="1"/>
      <w:numFmt w:val="lowerLetter"/>
      <w:lvlText w:val="%2)"/>
      <w:lvlJc w:val="left"/>
      <w:pPr>
        <w:ind w:left="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5E0728">
      <w:start w:val="1"/>
      <w:numFmt w:val="lowerRoman"/>
      <w:lvlText w:val="%3"/>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7068DE">
      <w:start w:val="1"/>
      <w:numFmt w:val="decimal"/>
      <w:lvlText w:val="%4"/>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3F88362">
      <w:start w:val="1"/>
      <w:numFmt w:val="lowerLetter"/>
      <w:lvlText w:val="%5"/>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8E2FA6">
      <w:start w:val="1"/>
      <w:numFmt w:val="lowerRoman"/>
      <w:lvlText w:val="%6"/>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CE5396">
      <w:start w:val="1"/>
      <w:numFmt w:val="decimal"/>
      <w:lvlText w:val="%7"/>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18D226">
      <w:start w:val="1"/>
      <w:numFmt w:val="lowerLetter"/>
      <w:lvlText w:val="%8"/>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2074F8">
      <w:start w:val="1"/>
      <w:numFmt w:val="lowerRoman"/>
      <w:lvlText w:val="%9"/>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50337024">
    <w:abstractNumId w:val="1"/>
  </w:num>
  <w:num w:numId="2" w16cid:durableId="1321350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82"/>
    <w:rsid w:val="001B7C86"/>
    <w:rsid w:val="001C5367"/>
    <w:rsid w:val="00356C82"/>
    <w:rsid w:val="0040497C"/>
    <w:rsid w:val="007A7A16"/>
    <w:rsid w:val="007C1E38"/>
    <w:rsid w:val="00A74A4D"/>
    <w:rsid w:val="00B94BDC"/>
    <w:rsid w:val="00D24E70"/>
    <w:rsid w:val="00DB0F8D"/>
    <w:rsid w:val="00DF0C64"/>
    <w:rsid w:val="00EC0FBF"/>
    <w:rsid w:val="00F87D73"/>
    <w:rsid w:val="00FD7B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18DBF"/>
  <w15:chartTrackingRefBased/>
  <w15:docId w15:val="{29178A72-7BBF-4B89-BBD2-19DBF04C0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56C82"/>
    <w:pPr>
      <w:widowControl w:val="0"/>
      <w:autoSpaceDE w:val="0"/>
      <w:autoSpaceDN w:val="0"/>
      <w:spacing w:after="0" w:line="240" w:lineRule="auto"/>
    </w:pPr>
    <w:rPr>
      <w:rFonts w:ascii="Arial" w:eastAsia="Arial" w:hAnsi="Arial" w:cs="Arial"/>
      <w:kern w:val="0"/>
      <w:lang w:eastAsia="es-ES" w:bidi="es-ES"/>
      <w14:ligatures w14:val="none"/>
    </w:rPr>
  </w:style>
  <w:style w:type="paragraph" w:styleId="Ttulo1">
    <w:name w:val="heading 1"/>
    <w:basedOn w:val="Normal"/>
    <w:link w:val="Ttulo1Car"/>
    <w:uiPriority w:val="1"/>
    <w:qFormat/>
    <w:rsid w:val="00356C82"/>
    <w:pPr>
      <w:spacing w:before="18"/>
      <w:ind w:left="965" w:right="339"/>
      <w:jc w:val="center"/>
      <w:outlineLvl w:val="0"/>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6C82"/>
    <w:pPr>
      <w:tabs>
        <w:tab w:val="center" w:pos="4252"/>
        <w:tab w:val="right" w:pos="8504"/>
      </w:tabs>
    </w:pPr>
  </w:style>
  <w:style w:type="character" w:customStyle="1" w:styleId="EncabezadoCar">
    <w:name w:val="Encabezado Car"/>
    <w:basedOn w:val="Fuentedeprrafopredeter"/>
    <w:link w:val="Encabezado"/>
    <w:uiPriority w:val="99"/>
    <w:rsid w:val="00356C82"/>
  </w:style>
  <w:style w:type="paragraph" w:styleId="Piedepgina">
    <w:name w:val="footer"/>
    <w:basedOn w:val="Normal"/>
    <w:link w:val="PiedepginaCar"/>
    <w:uiPriority w:val="99"/>
    <w:unhideWhenUsed/>
    <w:rsid w:val="00356C82"/>
    <w:pPr>
      <w:tabs>
        <w:tab w:val="center" w:pos="4252"/>
        <w:tab w:val="right" w:pos="8504"/>
      </w:tabs>
    </w:pPr>
  </w:style>
  <w:style w:type="character" w:customStyle="1" w:styleId="PiedepginaCar">
    <w:name w:val="Pie de página Car"/>
    <w:basedOn w:val="Fuentedeprrafopredeter"/>
    <w:link w:val="Piedepgina"/>
    <w:uiPriority w:val="99"/>
    <w:rsid w:val="00356C82"/>
  </w:style>
  <w:style w:type="table" w:styleId="Tablaconcuadrcula">
    <w:name w:val="Table Grid"/>
    <w:basedOn w:val="Tablanormal"/>
    <w:uiPriority w:val="59"/>
    <w:rsid w:val="00356C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356C82"/>
    <w:rPr>
      <w:rFonts w:ascii="Arial" w:eastAsia="Arial" w:hAnsi="Arial" w:cs="Arial"/>
      <w:b/>
      <w:bCs/>
      <w:kern w:val="0"/>
      <w:sz w:val="36"/>
      <w:szCs w:val="36"/>
      <w:lang w:eastAsia="es-ES" w:bidi="es-ES"/>
      <w14:ligatures w14:val="none"/>
    </w:rPr>
  </w:style>
  <w:style w:type="paragraph" w:styleId="Prrafodelista">
    <w:name w:val="List Paragraph"/>
    <w:basedOn w:val="Normal"/>
    <w:uiPriority w:val="34"/>
    <w:qFormat/>
    <w:rsid w:val="00356C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47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990</Words>
  <Characters>5446</Characters>
  <Application>Microsoft Office Word</Application>
  <DocSecurity>0</DocSecurity>
  <Lines>45</Lines>
  <Paragraphs>12</Paragraphs>
  <ScaleCrop>false</ScaleCrop>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8</cp:revision>
  <dcterms:created xsi:type="dcterms:W3CDTF">2024-02-12T11:26:00Z</dcterms:created>
  <dcterms:modified xsi:type="dcterms:W3CDTF">2024-02-12T13:24:00Z</dcterms:modified>
</cp:coreProperties>
</file>