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2CAAB" w14:textId="5E2B8F5D" w:rsidR="009F7E46" w:rsidRDefault="00643513" w:rsidP="009F7E46">
      <w:pPr>
        <w:jc w:val="both"/>
        <w:rPr>
          <w:rFonts w:ascii="AytoRoquetas Light Condensed" w:hAnsi="AytoRoquetas Light Condensed"/>
          <w:sz w:val="20"/>
          <w:szCs w:val="20"/>
        </w:rPr>
      </w:pPr>
      <w:r>
        <w:rPr>
          <w:rFonts w:ascii="AytoRoquetas Light Condensed" w:hAnsi="AytoRoquetas Light Condensed"/>
          <w:noProof/>
          <w:sz w:val="20"/>
          <w:szCs w:val="20"/>
        </w:rPr>
        <w:drawing>
          <wp:inline distT="0" distB="0" distL="0" distR="0" wp14:anchorId="111FCE13" wp14:editId="3B80FB0A">
            <wp:extent cx="1627505" cy="798830"/>
            <wp:effectExtent l="0" t="0" r="0" b="1270"/>
            <wp:docPr id="16188473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27505" cy="798830"/>
                    </a:xfrm>
                    <a:prstGeom prst="rect">
                      <a:avLst/>
                    </a:prstGeom>
                    <a:noFill/>
                  </pic:spPr>
                </pic:pic>
              </a:graphicData>
            </a:graphic>
          </wp:inline>
        </w:drawing>
      </w:r>
    </w:p>
    <w:p w14:paraId="72DF5C19" w14:textId="77777777" w:rsidR="009F7E46" w:rsidRDefault="009F7E46" w:rsidP="009F7E46">
      <w:pPr>
        <w:jc w:val="both"/>
        <w:rPr>
          <w:rFonts w:ascii="AytoRoquetas Light Condensed" w:hAnsi="AytoRoquetas Light Condensed"/>
          <w:sz w:val="20"/>
          <w:szCs w:val="20"/>
        </w:rPr>
      </w:pPr>
    </w:p>
    <w:p w14:paraId="0460DEB7" w14:textId="0DBE0266" w:rsidR="009F7E46" w:rsidRPr="000E6E6A" w:rsidRDefault="00244D33" w:rsidP="009F7E46">
      <w:pPr>
        <w:jc w:val="both"/>
        <w:rPr>
          <w:rFonts w:ascii="AytoRoquetas Light Condensed" w:hAnsi="AytoRoquetas Light Condensed"/>
          <w:sz w:val="20"/>
          <w:szCs w:val="20"/>
        </w:rPr>
      </w:pPr>
      <w:r>
        <w:rPr>
          <w:rFonts w:ascii="AytoRoquetas Light Condensed" w:hAnsi="AytoRoquetas Light Condensed"/>
          <w:sz w:val="20"/>
          <w:szCs w:val="20"/>
        </w:rPr>
        <w:t>Doña</w:t>
      </w:r>
      <w:r w:rsidR="009F7E46" w:rsidRPr="000E6E6A">
        <w:rPr>
          <w:rFonts w:ascii="AytoRoquetas Light Condensed" w:hAnsi="AytoRoquetas Light Condensed"/>
          <w:sz w:val="20"/>
          <w:szCs w:val="20"/>
        </w:rPr>
        <w:t xml:space="preserve"> Mónica Artacho</w:t>
      </w:r>
      <w:r>
        <w:rPr>
          <w:rFonts w:ascii="AytoRoquetas Light Condensed" w:hAnsi="AytoRoquetas Light Condensed"/>
          <w:sz w:val="20"/>
          <w:szCs w:val="20"/>
        </w:rPr>
        <w:t xml:space="preserve"> Sánchez</w:t>
      </w:r>
      <w:r w:rsidR="009F7E46" w:rsidRPr="000E6E6A">
        <w:rPr>
          <w:rFonts w:ascii="AytoRoquetas Light Condensed" w:hAnsi="AytoRoquetas Light Condensed"/>
          <w:sz w:val="20"/>
          <w:szCs w:val="20"/>
        </w:rPr>
        <w:t xml:space="preserve">, Tesorera del Consorcio </w:t>
      </w:r>
      <w:r>
        <w:rPr>
          <w:rFonts w:ascii="AytoRoquetas Light Condensed" w:hAnsi="AytoRoquetas Light Condensed"/>
          <w:sz w:val="20"/>
          <w:szCs w:val="20"/>
        </w:rPr>
        <w:t>para la Gestión del Ciclo Integral del Agua de Uso Urbano del Poniente Almeriense</w:t>
      </w:r>
      <w:r w:rsidR="009F7E46" w:rsidRPr="000E6E6A">
        <w:rPr>
          <w:rFonts w:ascii="AytoRoquetas Light Condensed" w:hAnsi="AytoRoquetas Light Condensed"/>
          <w:sz w:val="20"/>
          <w:szCs w:val="20"/>
        </w:rPr>
        <w:t xml:space="preserve">, en relación con el expediente arriba referenciado tramitado a instancia de la mercantil HIDRALIA GESION INTEGRAL DE AGUA DE ANDALUCIA, SA, la funcionaria abajo firmante de conformidad con lo dispuesto en los arts. 172 y 175 del RD. 2568/1986 de 28 de noviembre de Organización y Funcionamiento de las Entidades Locales emite el siguiente </w:t>
      </w:r>
    </w:p>
    <w:p w14:paraId="11296AAC" w14:textId="77777777" w:rsidR="00A62DCB" w:rsidRDefault="00A62DCB" w:rsidP="009F7E46">
      <w:pPr>
        <w:jc w:val="center"/>
        <w:rPr>
          <w:rFonts w:ascii="AytoRoquetas Light Condensed" w:hAnsi="AytoRoquetas Light Condensed"/>
          <w:b/>
          <w:bCs/>
          <w:sz w:val="20"/>
          <w:szCs w:val="20"/>
          <w:u w:val="single"/>
        </w:rPr>
      </w:pPr>
    </w:p>
    <w:p w14:paraId="134CC6EF" w14:textId="5629803C" w:rsidR="009F7E46" w:rsidRPr="000E6E6A" w:rsidRDefault="009F7E46" w:rsidP="009F7E46">
      <w:pPr>
        <w:jc w:val="center"/>
        <w:rPr>
          <w:rFonts w:ascii="AytoRoquetas Light Condensed" w:hAnsi="AytoRoquetas Light Condensed"/>
          <w:b/>
          <w:bCs/>
          <w:sz w:val="20"/>
          <w:szCs w:val="20"/>
          <w:u w:val="single"/>
        </w:rPr>
      </w:pPr>
      <w:r w:rsidRPr="000E6E6A">
        <w:rPr>
          <w:rFonts w:ascii="AytoRoquetas Light Condensed" w:hAnsi="AytoRoquetas Light Condensed"/>
          <w:b/>
          <w:bCs/>
          <w:sz w:val="20"/>
          <w:szCs w:val="20"/>
          <w:u w:val="single"/>
        </w:rPr>
        <w:t>INFORME</w:t>
      </w:r>
    </w:p>
    <w:p w14:paraId="03787800" w14:textId="77777777" w:rsidR="009F7E46" w:rsidRPr="000E6E6A" w:rsidRDefault="009F7E46" w:rsidP="009F7E46">
      <w:pPr>
        <w:jc w:val="both"/>
        <w:rPr>
          <w:rFonts w:ascii="AytoRoquetas Light Condensed" w:hAnsi="AytoRoquetas Light Condensed"/>
          <w:b/>
          <w:bCs/>
          <w:sz w:val="20"/>
          <w:szCs w:val="20"/>
        </w:rPr>
      </w:pPr>
      <w:r w:rsidRPr="000E6E6A">
        <w:rPr>
          <w:rFonts w:ascii="AytoRoquetas Light Condensed" w:hAnsi="AytoRoquetas Light Condensed"/>
          <w:b/>
          <w:bCs/>
          <w:sz w:val="20"/>
          <w:szCs w:val="20"/>
        </w:rPr>
        <w:t>ANTECEDENTES</w:t>
      </w:r>
    </w:p>
    <w:p w14:paraId="3FA03BD1" w14:textId="77777777" w:rsidR="009F7E46" w:rsidRPr="000E6E6A" w:rsidRDefault="009F7E46" w:rsidP="009F7E46">
      <w:pPr>
        <w:jc w:val="both"/>
        <w:rPr>
          <w:rFonts w:ascii="AytoRoquetas Light Condensed" w:hAnsi="AytoRoquetas Light Condensed"/>
          <w:sz w:val="20"/>
          <w:szCs w:val="20"/>
        </w:rPr>
      </w:pPr>
      <w:r w:rsidRPr="009F7E46">
        <w:rPr>
          <w:rFonts w:ascii="AytoRoquetas Light Condensed" w:hAnsi="AytoRoquetas Light Condensed"/>
          <w:b/>
          <w:bCs/>
          <w:sz w:val="20"/>
          <w:szCs w:val="20"/>
        </w:rPr>
        <w:t>Primero</w:t>
      </w:r>
      <w:r w:rsidRPr="000E6E6A">
        <w:rPr>
          <w:rFonts w:ascii="AytoRoquetas Light Condensed" w:hAnsi="AytoRoquetas Light Condensed"/>
          <w:sz w:val="20"/>
          <w:szCs w:val="20"/>
        </w:rPr>
        <w:t xml:space="preserve">. - En fecha 27 de diciembre de 2022 se dictó por parte del </w:t>
      </w:r>
      <w:proofErr w:type="gramStart"/>
      <w:r w:rsidRPr="000E6E6A">
        <w:rPr>
          <w:rFonts w:ascii="AytoRoquetas Light Condensed" w:hAnsi="AytoRoquetas Light Condensed"/>
          <w:sz w:val="20"/>
          <w:szCs w:val="20"/>
        </w:rPr>
        <w:t>Presidente</w:t>
      </w:r>
      <w:proofErr w:type="gramEnd"/>
      <w:r w:rsidRPr="000E6E6A">
        <w:rPr>
          <w:rFonts w:ascii="AytoRoquetas Light Condensed" w:hAnsi="AytoRoquetas Light Condensed"/>
          <w:sz w:val="20"/>
          <w:szCs w:val="20"/>
        </w:rPr>
        <w:t xml:space="preserve"> del Consorcio de Gestión de los Servicios Integrados de Abastecimiento de Aguas y Saneamiento del Poniente Almeriense Resolución administrativa nº 593 en virtud de la cual se dispuso:</w:t>
      </w:r>
    </w:p>
    <w:p w14:paraId="01239407" w14:textId="77777777" w:rsidR="009F7E46" w:rsidRPr="000E6E6A" w:rsidRDefault="009F7E46" w:rsidP="009F7E46">
      <w:pPr>
        <w:spacing w:line="288" w:lineRule="auto"/>
        <w:jc w:val="both"/>
        <w:rPr>
          <w:rFonts w:ascii="AytoRoquetas Light Condensed" w:hAnsi="AytoRoquetas Light Condensed"/>
          <w:i/>
          <w:iCs/>
          <w:sz w:val="20"/>
          <w:szCs w:val="20"/>
        </w:rPr>
      </w:pPr>
      <w:r w:rsidRPr="000E6E6A">
        <w:rPr>
          <w:rFonts w:ascii="AytoRoquetas Light Condensed" w:hAnsi="AytoRoquetas Light Condensed"/>
          <w:sz w:val="20"/>
          <w:szCs w:val="20"/>
        </w:rPr>
        <w:t>“</w:t>
      </w:r>
      <w:r w:rsidRPr="000E6E6A">
        <w:rPr>
          <w:rFonts w:ascii="AytoRoquetas Light Condensed" w:hAnsi="AytoRoquetas Light Condensed"/>
          <w:i/>
          <w:iCs/>
          <w:sz w:val="20"/>
          <w:szCs w:val="20"/>
        </w:rPr>
        <w:t xml:space="preserve">PRIMERO. - Aprobar la liquidación de derechos correspondiente a la diferencia entre la tasa vigente y coste unitario del servicio, a la empresa </w:t>
      </w:r>
      <w:proofErr w:type="spellStart"/>
      <w:r w:rsidRPr="000E6E6A">
        <w:rPr>
          <w:rFonts w:ascii="AytoRoquetas Light Condensed" w:hAnsi="AytoRoquetas Light Condensed"/>
          <w:i/>
          <w:iCs/>
          <w:sz w:val="20"/>
          <w:szCs w:val="20"/>
        </w:rPr>
        <w:t>Hidralia</w:t>
      </w:r>
      <w:proofErr w:type="spellEnd"/>
      <w:r w:rsidRPr="000E6E6A">
        <w:rPr>
          <w:rFonts w:ascii="AytoRoquetas Light Condensed" w:hAnsi="AytoRoquetas Light Condensed"/>
          <w:i/>
          <w:iCs/>
          <w:sz w:val="20"/>
          <w:szCs w:val="20"/>
        </w:rPr>
        <w:t xml:space="preserve"> Gestión Integral de Aguas de Andalucía S.A., en la cantidad de 221.579’64 euros, ejercicio de 2021.</w:t>
      </w:r>
    </w:p>
    <w:p w14:paraId="4CF26E84" w14:textId="77777777" w:rsidR="009F7E46" w:rsidRPr="000E6E6A" w:rsidRDefault="009F7E46" w:rsidP="009F7E46">
      <w:pPr>
        <w:spacing w:line="288" w:lineRule="auto"/>
        <w:jc w:val="both"/>
        <w:rPr>
          <w:rFonts w:ascii="AytoRoquetas Light Condensed" w:hAnsi="AytoRoquetas Light Condensed"/>
          <w:i/>
          <w:iCs/>
          <w:sz w:val="20"/>
          <w:szCs w:val="20"/>
        </w:rPr>
      </w:pPr>
      <w:r w:rsidRPr="000E6E6A">
        <w:rPr>
          <w:rFonts w:ascii="AytoRoquetas Light Condensed" w:hAnsi="AytoRoquetas Light Condensed"/>
          <w:i/>
          <w:iCs/>
          <w:sz w:val="20"/>
          <w:szCs w:val="20"/>
        </w:rPr>
        <w:t>SEGUNDO. - Aprobar la compensación contra la liquidación anterior, de las siguientes deudas pagadas por la Concesionaria a la Junta de Andalucía en cumplimiento del acuerdo adoptado por la Junta General del Consorcio en su acta núm. 42/2020, siendo el líquido a ingresar por la Concesionaria a este Consorcio de 198.297,94 €:</w:t>
      </w:r>
    </w:p>
    <w:tbl>
      <w:tblPr>
        <w:tblW w:w="5000" w:type="pct"/>
        <w:tblCellMar>
          <w:left w:w="70" w:type="dxa"/>
          <w:right w:w="70" w:type="dxa"/>
        </w:tblCellMar>
        <w:tblLook w:val="04A0" w:firstRow="1" w:lastRow="0" w:firstColumn="1" w:lastColumn="0" w:noHBand="0" w:noVBand="1"/>
      </w:tblPr>
      <w:tblGrid>
        <w:gridCol w:w="3622"/>
        <w:gridCol w:w="1489"/>
        <w:gridCol w:w="1695"/>
        <w:gridCol w:w="1693"/>
      </w:tblGrid>
      <w:tr w:rsidR="009F7E46" w:rsidRPr="000E6E6A" w14:paraId="43803AA5" w14:textId="77777777" w:rsidTr="00B70E8E">
        <w:trPr>
          <w:trHeight w:val="375"/>
        </w:trPr>
        <w:tc>
          <w:tcPr>
            <w:tcW w:w="5000" w:type="pct"/>
            <w:gridSpan w:val="4"/>
            <w:tcBorders>
              <w:top w:val="nil"/>
              <w:left w:val="single" w:sz="4" w:space="0" w:color="000000"/>
              <w:bottom w:val="nil"/>
              <w:right w:val="nil"/>
            </w:tcBorders>
            <w:shd w:val="clear" w:color="00B0F0" w:fill="00B0F0"/>
            <w:noWrap/>
            <w:vAlign w:val="bottom"/>
            <w:hideMark/>
          </w:tcPr>
          <w:p w14:paraId="0B868A9C" w14:textId="77777777" w:rsidR="009F7E46" w:rsidRPr="000E6E6A" w:rsidRDefault="009F7E46" w:rsidP="00B70E8E">
            <w:pPr>
              <w:spacing w:line="288" w:lineRule="auto"/>
              <w:jc w:val="center"/>
              <w:rPr>
                <w:rFonts w:ascii="AytoRoquetas Light Condensed" w:hAnsi="AytoRoquetas Light Condensed" w:cs="Calibri"/>
                <w:b/>
                <w:bCs/>
                <w:i/>
                <w:iCs/>
                <w:color w:val="000000"/>
                <w:sz w:val="20"/>
                <w:szCs w:val="20"/>
              </w:rPr>
            </w:pPr>
            <w:r w:rsidRPr="000E6E6A">
              <w:rPr>
                <w:rFonts w:ascii="AytoRoquetas Light Condensed" w:hAnsi="AytoRoquetas Light Condensed" w:cs="Calibri"/>
                <w:b/>
                <w:bCs/>
                <w:i/>
                <w:iCs/>
                <w:color w:val="000000"/>
                <w:sz w:val="20"/>
                <w:szCs w:val="20"/>
              </w:rPr>
              <w:t>HIDRALIA</w:t>
            </w:r>
          </w:p>
        </w:tc>
      </w:tr>
      <w:tr w:rsidR="009F7E46" w:rsidRPr="000E6E6A" w14:paraId="6E9DAC92" w14:textId="77777777" w:rsidTr="00B70E8E">
        <w:trPr>
          <w:trHeight w:val="375"/>
        </w:trPr>
        <w:tc>
          <w:tcPr>
            <w:tcW w:w="2131" w:type="pct"/>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295699B8" w14:textId="77777777" w:rsidR="009F7E46" w:rsidRPr="000E6E6A" w:rsidRDefault="009F7E46" w:rsidP="00B70E8E">
            <w:pPr>
              <w:spacing w:line="288" w:lineRule="auto"/>
              <w:jc w:val="both"/>
              <w:rPr>
                <w:rFonts w:ascii="AytoRoquetas Light Condensed" w:hAnsi="AytoRoquetas Light Condensed" w:cs="Calibri"/>
                <w:b/>
                <w:bCs/>
                <w:i/>
                <w:iCs/>
                <w:color w:val="000000"/>
                <w:sz w:val="20"/>
                <w:szCs w:val="20"/>
              </w:rPr>
            </w:pPr>
            <w:r w:rsidRPr="000E6E6A">
              <w:rPr>
                <w:rFonts w:ascii="AytoRoquetas Light Condensed" w:hAnsi="AytoRoquetas Light Condensed" w:cs="Calibri"/>
                <w:b/>
                <w:bCs/>
                <w:i/>
                <w:iCs/>
                <w:color w:val="000000"/>
                <w:sz w:val="20"/>
                <w:szCs w:val="20"/>
              </w:rPr>
              <w:t>CONCEPTO</w:t>
            </w:r>
          </w:p>
        </w:tc>
        <w:tc>
          <w:tcPr>
            <w:tcW w:w="876" w:type="pct"/>
            <w:tcBorders>
              <w:top w:val="single" w:sz="4" w:space="0" w:color="000000"/>
              <w:left w:val="nil"/>
              <w:bottom w:val="single" w:sz="4" w:space="0" w:color="000000"/>
              <w:right w:val="single" w:sz="4" w:space="0" w:color="000000"/>
            </w:tcBorders>
            <w:shd w:val="clear" w:color="D9D9D9" w:fill="D9D9D9"/>
            <w:noWrap/>
            <w:vAlign w:val="bottom"/>
            <w:hideMark/>
          </w:tcPr>
          <w:p w14:paraId="7A53F025" w14:textId="77777777" w:rsidR="009F7E46" w:rsidRPr="000E6E6A" w:rsidRDefault="009F7E46" w:rsidP="00B70E8E">
            <w:pPr>
              <w:spacing w:line="288" w:lineRule="auto"/>
              <w:jc w:val="both"/>
              <w:rPr>
                <w:rFonts w:ascii="AytoRoquetas Light Condensed" w:hAnsi="AytoRoquetas Light Condensed" w:cs="Calibri"/>
                <w:b/>
                <w:bCs/>
                <w:i/>
                <w:iCs/>
                <w:color w:val="000000"/>
                <w:sz w:val="20"/>
                <w:szCs w:val="20"/>
              </w:rPr>
            </w:pPr>
            <w:r w:rsidRPr="000E6E6A">
              <w:rPr>
                <w:rFonts w:ascii="AytoRoquetas Light Condensed" w:hAnsi="AytoRoquetas Light Condensed" w:cs="Calibri"/>
                <w:b/>
                <w:bCs/>
                <w:i/>
                <w:iCs/>
                <w:color w:val="000000"/>
                <w:sz w:val="20"/>
                <w:szCs w:val="20"/>
              </w:rPr>
              <w:t>2020</w:t>
            </w:r>
          </w:p>
        </w:tc>
        <w:tc>
          <w:tcPr>
            <w:tcW w:w="997" w:type="pct"/>
            <w:tcBorders>
              <w:top w:val="single" w:sz="4" w:space="0" w:color="000000"/>
              <w:left w:val="nil"/>
              <w:bottom w:val="single" w:sz="4" w:space="0" w:color="000000"/>
              <w:right w:val="single" w:sz="4" w:space="0" w:color="000000"/>
            </w:tcBorders>
            <w:shd w:val="clear" w:color="D9D9D9" w:fill="D9D9D9"/>
            <w:noWrap/>
            <w:vAlign w:val="bottom"/>
            <w:hideMark/>
          </w:tcPr>
          <w:p w14:paraId="0130C683" w14:textId="77777777" w:rsidR="009F7E46" w:rsidRPr="000E6E6A" w:rsidRDefault="009F7E46" w:rsidP="00B70E8E">
            <w:pPr>
              <w:spacing w:line="288" w:lineRule="auto"/>
              <w:jc w:val="both"/>
              <w:rPr>
                <w:rFonts w:ascii="AytoRoquetas Light Condensed" w:hAnsi="AytoRoquetas Light Condensed" w:cs="Calibri"/>
                <w:b/>
                <w:bCs/>
                <w:i/>
                <w:iCs/>
                <w:color w:val="000000"/>
                <w:sz w:val="20"/>
                <w:szCs w:val="20"/>
              </w:rPr>
            </w:pPr>
            <w:r w:rsidRPr="000E6E6A">
              <w:rPr>
                <w:rFonts w:ascii="AytoRoquetas Light Condensed" w:hAnsi="AytoRoquetas Light Condensed" w:cs="Calibri"/>
                <w:b/>
                <w:bCs/>
                <w:i/>
                <w:iCs/>
                <w:color w:val="000000"/>
                <w:sz w:val="20"/>
                <w:szCs w:val="20"/>
              </w:rPr>
              <w:t>2021</w:t>
            </w:r>
          </w:p>
        </w:tc>
        <w:tc>
          <w:tcPr>
            <w:tcW w:w="996" w:type="pct"/>
            <w:tcBorders>
              <w:top w:val="single" w:sz="4" w:space="0" w:color="000000"/>
              <w:left w:val="nil"/>
              <w:bottom w:val="single" w:sz="4" w:space="0" w:color="000000"/>
              <w:right w:val="single" w:sz="4" w:space="0" w:color="000000"/>
            </w:tcBorders>
            <w:shd w:val="clear" w:color="D9D9D9" w:fill="D9D9D9"/>
            <w:noWrap/>
            <w:vAlign w:val="bottom"/>
            <w:hideMark/>
          </w:tcPr>
          <w:p w14:paraId="473C47DC" w14:textId="77777777" w:rsidR="009F7E46" w:rsidRPr="000E6E6A" w:rsidRDefault="009F7E46" w:rsidP="00B70E8E">
            <w:pPr>
              <w:spacing w:line="288" w:lineRule="auto"/>
              <w:jc w:val="both"/>
              <w:rPr>
                <w:rFonts w:ascii="AytoRoquetas Light Condensed" w:hAnsi="AytoRoquetas Light Condensed" w:cs="Calibri"/>
                <w:b/>
                <w:bCs/>
                <w:i/>
                <w:iCs/>
                <w:color w:val="000000"/>
                <w:sz w:val="20"/>
                <w:szCs w:val="20"/>
              </w:rPr>
            </w:pPr>
            <w:r w:rsidRPr="000E6E6A">
              <w:rPr>
                <w:rFonts w:ascii="AytoRoquetas Light Condensed" w:hAnsi="AytoRoquetas Light Condensed" w:cs="Calibri"/>
                <w:b/>
                <w:bCs/>
                <w:i/>
                <w:iCs/>
                <w:color w:val="000000"/>
                <w:sz w:val="20"/>
                <w:szCs w:val="20"/>
              </w:rPr>
              <w:t>Total</w:t>
            </w:r>
          </w:p>
        </w:tc>
      </w:tr>
      <w:tr w:rsidR="009F7E46" w:rsidRPr="000E6E6A" w14:paraId="3CF1C6A7" w14:textId="77777777" w:rsidTr="00B70E8E">
        <w:trPr>
          <w:trHeight w:val="375"/>
        </w:trPr>
        <w:tc>
          <w:tcPr>
            <w:tcW w:w="2131" w:type="pct"/>
            <w:tcBorders>
              <w:top w:val="nil"/>
              <w:left w:val="single" w:sz="4" w:space="0" w:color="000000"/>
              <w:bottom w:val="single" w:sz="4" w:space="0" w:color="000000"/>
              <w:right w:val="single" w:sz="4" w:space="0" w:color="000000"/>
            </w:tcBorders>
            <w:shd w:val="clear" w:color="auto" w:fill="auto"/>
            <w:noWrap/>
            <w:vAlign w:val="bottom"/>
            <w:hideMark/>
          </w:tcPr>
          <w:p w14:paraId="31F246B0" w14:textId="77777777" w:rsidR="009F7E46" w:rsidRPr="000E6E6A" w:rsidRDefault="009F7E46" w:rsidP="00B70E8E">
            <w:pPr>
              <w:spacing w:line="288" w:lineRule="auto"/>
              <w:jc w:val="both"/>
              <w:rPr>
                <w:rFonts w:ascii="AytoRoquetas Light Condensed" w:hAnsi="AytoRoquetas Light Condensed" w:cs="Calibri"/>
                <w:i/>
                <w:iCs/>
                <w:color w:val="000000"/>
                <w:sz w:val="20"/>
                <w:szCs w:val="20"/>
              </w:rPr>
            </w:pPr>
            <w:r w:rsidRPr="000E6E6A">
              <w:rPr>
                <w:rFonts w:ascii="AytoRoquetas Light Condensed" w:hAnsi="AytoRoquetas Light Condensed" w:cs="Calibri"/>
                <w:i/>
                <w:iCs/>
                <w:color w:val="000000"/>
                <w:sz w:val="20"/>
                <w:szCs w:val="20"/>
              </w:rPr>
              <w:t>VERTIDOS ROQUETAS</w:t>
            </w:r>
          </w:p>
        </w:tc>
        <w:tc>
          <w:tcPr>
            <w:tcW w:w="876" w:type="pct"/>
            <w:tcBorders>
              <w:top w:val="nil"/>
              <w:left w:val="nil"/>
              <w:bottom w:val="nil"/>
              <w:right w:val="nil"/>
            </w:tcBorders>
            <w:shd w:val="clear" w:color="auto" w:fill="auto"/>
            <w:noWrap/>
            <w:vAlign w:val="bottom"/>
          </w:tcPr>
          <w:p w14:paraId="368EAC46" w14:textId="77777777" w:rsidR="009F7E46" w:rsidRPr="000E6E6A" w:rsidRDefault="009F7E46" w:rsidP="00B70E8E">
            <w:pPr>
              <w:spacing w:line="288" w:lineRule="auto"/>
              <w:jc w:val="both"/>
              <w:rPr>
                <w:rFonts w:ascii="AytoRoquetas Light Condensed" w:hAnsi="AytoRoquetas Light Condensed" w:cs="Calibri"/>
                <w:i/>
                <w:iCs/>
                <w:color w:val="000000"/>
                <w:sz w:val="20"/>
                <w:szCs w:val="20"/>
              </w:rPr>
            </w:pPr>
          </w:p>
        </w:tc>
        <w:tc>
          <w:tcPr>
            <w:tcW w:w="997" w:type="pct"/>
            <w:tcBorders>
              <w:top w:val="nil"/>
              <w:left w:val="single" w:sz="4" w:space="0" w:color="000000"/>
              <w:bottom w:val="single" w:sz="4" w:space="0" w:color="000000"/>
              <w:right w:val="single" w:sz="4" w:space="0" w:color="000000"/>
            </w:tcBorders>
            <w:shd w:val="clear" w:color="auto" w:fill="auto"/>
            <w:noWrap/>
            <w:vAlign w:val="bottom"/>
            <w:hideMark/>
          </w:tcPr>
          <w:p w14:paraId="1A73C735" w14:textId="77777777" w:rsidR="009F7E46" w:rsidRPr="000E6E6A" w:rsidRDefault="009F7E46" w:rsidP="00B70E8E">
            <w:pPr>
              <w:spacing w:line="288" w:lineRule="auto"/>
              <w:jc w:val="both"/>
              <w:rPr>
                <w:rFonts w:ascii="AytoRoquetas Light Condensed" w:hAnsi="AytoRoquetas Light Condensed" w:cs="Calibri"/>
                <w:i/>
                <w:iCs/>
                <w:color w:val="000000"/>
                <w:sz w:val="20"/>
                <w:szCs w:val="20"/>
              </w:rPr>
            </w:pPr>
            <w:r w:rsidRPr="000E6E6A">
              <w:rPr>
                <w:rFonts w:ascii="AytoRoquetas Light Condensed" w:hAnsi="AytoRoquetas Light Condensed" w:cs="Calibri"/>
                <w:i/>
                <w:iCs/>
                <w:color w:val="000000"/>
                <w:sz w:val="20"/>
                <w:szCs w:val="20"/>
              </w:rPr>
              <w:t>20.992,76</w:t>
            </w:r>
          </w:p>
        </w:tc>
        <w:tc>
          <w:tcPr>
            <w:tcW w:w="996" w:type="pct"/>
            <w:tcBorders>
              <w:top w:val="nil"/>
              <w:left w:val="nil"/>
              <w:bottom w:val="single" w:sz="4" w:space="0" w:color="000000"/>
              <w:right w:val="single" w:sz="4" w:space="0" w:color="000000"/>
            </w:tcBorders>
            <w:shd w:val="clear" w:color="auto" w:fill="auto"/>
            <w:noWrap/>
            <w:vAlign w:val="bottom"/>
            <w:hideMark/>
          </w:tcPr>
          <w:p w14:paraId="66AE048F" w14:textId="77777777" w:rsidR="009F7E46" w:rsidRPr="000E6E6A" w:rsidRDefault="009F7E46" w:rsidP="00B70E8E">
            <w:pPr>
              <w:spacing w:line="288" w:lineRule="auto"/>
              <w:jc w:val="both"/>
              <w:rPr>
                <w:rFonts w:ascii="AytoRoquetas Light Condensed" w:hAnsi="AytoRoquetas Light Condensed" w:cs="Calibri"/>
                <w:i/>
                <w:iCs/>
                <w:color w:val="000000"/>
                <w:sz w:val="20"/>
                <w:szCs w:val="20"/>
              </w:rPr>
            </w:pPr>
            <w:r w:rsidRPr="000E6E6A">
              <w:rPr>
                <w:rFonts w:ascii="AytoRoquetas Light Condensed" w:hAnsi="AytoRoquetas Light Condensed" w:cs="Calibri"/>
                <w:i/>
                <w:iCs/>
                <w:color w:val="000000"/>
                <w:sz w:val="20"/>
                <w:szCs w:val="20"/>
              </w:rPr>
              <w:t>20.992,76</w:t>
            </w:r>
          </w:p>
        </w:tc>
      </w:tr>
      <w:tr w:rsidR="009F7E46" w:rsidRPr="000E6E6A" w14:paraId="3E470C72" w14:textId="77777777" w:rsidTr="00B70E8E">
        <w:trPr>
          <w:trHeight w:val="375"/>
        </w:trPr>
        <w:tc>
          <w:tcPr>
            <w:tcW w:w="2131" w:type="pct"/>
            <w:tcBorders>
              <w:top w:val="nil"/>
              <w:left w:val="single" w:sz="4" w:space="0" w:color="000000"/>
              <w:bottom w:val="single" w:sz="4" w:space="0" w:color="000000"/>
              <w:right w:val="single" w:sz="4" w:space="0" w:color="000000"/>
            </w:tcBorders>
            <w:shd w:val="clear" w:color="auto" w:fill="auto"/>
            <w:noWrap/>
            <w:vAlign w:val="bottom"/>
            <w:hideMark/>
          </w:tcPr>
          <w:p w14:paraId="225ED34E" w14:textId="77777777" w:rsidR="009F7E46" w:rsidRPr="000E6E6A" w:rsidRDefault="009F7E46" w:rsidP="00B70E8E">
            <w:pPr>
              <w:spacing w:line="288" w:lineRule="auto"/>
              <w:jc w:val="both"/>
              <w:rPr>
                <w:rFonts w:ascii="AytoRoquetas Light Condensed" w:hAnsi="AytoRoquetas Light Condensed" w:cs="Calibri"/>
                <w:i/>
                <w:iCs/>
                <w:color w:val="000000"/>
                <w:sz w:val="20"/>
                <w:szCs w:val="20"/>
              </w:rPr>
            </w:pPr>
            <w:r w:rsidRPr="000E6E6A">
              <w:rPr>
                <w:rFonts w:ascii="AytoRoquetas Light Condensed" w:hAnsi="AytoRoquetas Light Condensed" w:cs="Calibri"/>
                <w:i/>
                <w:iCs/>
                <w:color w:val="000000"/>
                <w:sz w:val="20"/>
                <w:szCs w:val="20"/>
              </w:rPr>
              <w:t>CANON FELIX</w:t>
            </w:r>
          </w:p>
        </w:tc>
        <w:tc>
          <w:tcPr>
            <w:tcW w:w="876" w:type="pct"/>
            <w:tcBorders>
              <w:top w:val="single" w:sz="4" w:space="0" w:color="000000"/>
              <w:left w:val="nil"/>
              <w:bottom w:val="single" w:sz="4" w:space="0" w:color="000000"/>
              <w:right w:val="single" w:sz="4" w:space="0" w:color="000000"/>
            </w:tcBorders>
            <w:shd w:val="clear" w:color="auto" w:fill="auto"/>
            <w:noWrap/>
            <w:vAlign w:val="bottom"/>
            <w:hideMark/>
          </w:tcPr>
          <w:p w14:paraId="2ADD1AA0" w14:textId="77777777" w:rsidR="009F7E46" w:rsidRPr="000E6E6A" w:rsidRDefault="009F7E46" w:rsidP="00B70E8E">
            <w:pPr>
              <w:spacing w:line="288" w:lineRule="auto"/>
              <w:jc w:val="both"/>
              <w:rPr>
                <w:rFonts w:ascii="AytoRoquetas Light Condensed" w:hAnsi="AytoRoquetas Light Condensed" w:cs="Calibri"/>
                <w:i/>
                <w:iCs/>
                <w:color w:val="000000"/>
                <w:sz w:val="20"/>
                <w:szCs w:val="20"/>
              </w:rPr>
            </w:pPr>
            <w:r w:rsidRPr="000E6E6A">
              <w:rPr>
                <w:rFonts w:ascii="AytoRoquetas Light Condensed" w:hAnsi="AytoRoquetas Light Condensed" w:cs="Calibri"/>
                <w:i/>
                <w:iCs/>
                <w:color w:val="000000"/>
                <w:sz w:val="20"/>
                <w:szCs w:val="20"/>
              </w:rPr>
              <w:t>1.499,47</w:t>
            </w:r>
          </w:p>
        </w:tc>
        <w:tc>
          <w:tcPr>
            <w:tcW w:w="997" w:type="pct"/>
            <w:tcBorders>
              <w:top w:val="nil"/>
              <w:left w:val="nil"/>
              <w:bottom w:val="single" w:sz="4" w:space="0" w:color="000000"/>
              <w:right w:val="single" w:sz="4" w:space="0" w:color="000000"/>
            </w:tcBorders>
            <w:shd w:val="clear" w:color="auto" w:fill="auto"/>
            <w:noWrap/>
            <w:vAlign w:val="bottom"/>
            <w:hideMark/>
          </w:tcPr>
          <w:p w14:paraId="7F5323F1" w14:textId="77777777" w:rsidR="009F7E46" w:rsidRPr="000E6E6A" w:rsidRDefault="009F7E46" w:rsidP="00B70E8E">
            <w:pPr>
              <w:spacing w:line="288" w:lineRule="auto"/>
              <w:jc w:val="both"/>
              <w:rPr>
                <w:rFonts w:ascii="AytoRoquetas Light Condensed" w:hAnsi="AytoRoquetas Light Condensed" w:cs="Calibri"/>
                <w:i/>
                <w:iCs/>
                <w:color w:val="000000"/>
                <w:sz w:val="20"/>
                <w:szCs w:val="20"/>
              </w:rPr>
            </w:pPr>
            <w:r w:rsidRPr="000E6E6A">
              <w:rPr>
                <w:rFonts w:ascii="AytoRoquetas Light Condensed" w:hAnsi="AytoRoquetas Light Condensed" w:cs="Calibri"/>
                <w:i/>
                <w:iCs/>
                <w:color w:val="000000"/>
                <w:sz w:val="20"/>
                <w:szCs w:val="20"/>
              </w:rPr>
              <w:t> </w:t>
            </w:r>
          </w:p>
        </w:tc>
        <w:tc>
          <w:tcPr>
            <w:tcW w:w="996" w:type="pct"/>
            <w:tcBorders>
              <w:top w:val="nil"/>
              <w:left w:val="nil"/>
              <w:bottom w:val="single" w:sz="4" w:space="0" w:color="000000"/>
              <w:right w:val="single" w:sz="4" w:space="0" w:color="000000"/>
            </w:tcBorders>
            <w:shd w:val="clear" w:color="auto" w:fill="auto"/>
            <w:noWrap/>
            <w:vAlign w:val="bottom"/>
            <w:hideMark/>
          </w:tcPr>
          <w:p w14:paraId="3396E11E" w14:textId="77777777" w:rsidR="009F7E46" w:rsidRPr="000E6E6A" w:rsidRDefault="009F7E46" w:rsidP="00B70E8E">
            <w:pPr>
              <w:spacing w:line="288" w:lineRule="auto"/>
              <w:jc w:val="both"/>
              <w:rPr>
                <w:rFonts w:ascii="AytoRoquetas Light Condensed" w:hAnsi="AytoRoquetas Light Condensed" w:cs="Calibri"/>
                <w:i/>
                <w:iCs/>
                <w:color w:val="000000"/>
                <w:sz w:val="20"/>
                <w:szCs w:val="20"/>
              </w:rPr>
            </w:pPr>
            <w:r w:rsidRPr="000E6E6A">
              <w:rPr>
                <w:rFonts w:ascii="AytoRoquetas Light Condensed" w:hAnsi="AytoRoquetas Light Condensed" w:cs="Calibri"/>
                <w:i/>
                <w:iCs/>
                <w:color w:val="000000"/>
                <w:sz w:val="20"/>
                <w:szCs w:val="20"/>
              </w:rPr>
              <w:t>1.499,47</w:t>
            </w:r>
          </w:p>
        </w:tc>
      </w:tr>
      <w:tr w:rsidR="009F7E46" w:rsidRPr="000E6E6A" w14:paraId="6B0F7894" w14:textId="77777777" w:rsidTr="00B70E8E">
        <w:trPr>
          <w:trHeight w:val="375"/>
        </w:trPr>
        <w:tc>
          <w:tcPr>
            <w:tcW w:w="2131" w:type="pct"/>
            <w:tcBorders>
              <w:top w:val="nil"/>
              <w:left w:val="single" w:sz="4" w:space="0" w:color="000000"/>
              <w:bottom w:val="single" w:sz="4" w:space="0" w:color="000000"/>
              <w:right w:val="single" w:sz="4" w:space="0" w:color="000000"/>
            </w:tcBorders>
            <w:shd w:val="clear" w:color="auto" w:fill="auto"/>
            <w:noWrap/>
            <w:vAlign w:val="bottom"/>
            <w:hideMark/>
          </w:tcPr>
          <w:p w14:paraId="46B5555E" w14:textId="77777777" w:rsidR="009F7E46" w:rsidRPr="000E6E6A" w:rsidRDefault="009F7E46" w:rsidP="00B70E8E">
            <w:pPr>
              <w:spacing w:line="288" w:lineRule="auto"/>
              <w:jc w:val="both"/>
              <w:rPr>
                <w:rFonts w:ascii="AytoRoquetas Light Condensed" w:hAnsi="AytoRoquetas Light Condensed" w:cs="Calibri"/>
                <w:i/>
                <w:iCs/>
                <w:color w:val="000000"/>
                <w:sz w:val="20"/>
                <w:szCs w:val="20"/>
              </w:rPr>
            </w:pPr>
            <w:r w:rsidRPr="000E6E6A">
              <w:rPr>
                <w:rFonts w:ascii="AytoRoquetas Light Condensed" w:hAnsi="AytoRoquetas Light Condensed" w:cs="Calibri"/>
                <w:i/>
                <w:iCs/>
                <w:color w:val="000000"/>
                <w:sz w:val="20"/>
                <w:szCs w:val="20"/>
              </w:rPr>
              <w:t>CANON ENIX</w:t>
            </w:r>
          </w:p>
        </w:tc>
        <w:tc>
          <w:tcPr>
            <w:tcW w:w="876" w:type="pct"/>
            <w:tcBorders>
              <w:top w:val="nil"/>
              <w:left w:val="nil"/>
              <w:bottom w:val="single" w:sz="4" w:space="0" w:color="000000"/>
              <w:right w:val="single" w:sz="4" w:space="0" w:color="000000"/>
            </w:tcBorders>
            <w:shd w:val="clear" w:color="auto" w:fill="auto"/>
            <w:noWrap/>
            <w:vAlign w:val="bottom"/>
            <w:hideMark/>
          </w:tcPr>
          <w:p w14:paraId="3598DCD4" w14:textId="77777777" w:rsidR="009F7E46" w:rsidRPr="000E6E6A" w:rsidRDefault="009F7E46" w:rsidP="00B70E8E">
            <w:pPr>
              <w:spacing w:line="288" w:lineRule="auto"/>
              <w:jc w:val="both"/>
              <w:rPr>
                <w:rFonts w:ascii="AytoRoquetas Light Condensed" w:hAnsi="AytoRoquetas Light Condensed" w:cs="Calibri"/>
                <w:i/>
                <w:iCs/>
                <w:color w:val="000000"/>
                <w:sz w:val="20"/>
                <w:szCs w:val="20"/>
              </w:rPr>
            </w:pPr>
            <w:r w:rsidRPr="000E6E6A">
              <w:rPr>
                <w:rFonts w:ascii="AytoRoquetas Light Condensed" w:hAnsi="AytoRoquetas Light Condensed" w:cs="Calibri"/>
                <w:i/>
                <w:iCs/>
                <w:color w:val="000000"/>
                <w:sz w:val="20"/>
                <w:szCs w:val="20"/>
              </w:rPr>
              <w:t>789,47</w:t>
            </w:r>
          </w:p>
        </w:tc>
        <w:tc>
          <w:tcPr>
            <w:tcW w:w="997" w:type="pct"/>
            <w:tcBorders>
              <w:top w:val="nil"/>
              <w:left w:val="nil"/>
              <w:bottom w:val="single" w:sz="4" w:space="0" w:color="000000"/>
              <w:right w:val="single" w:sz="4" w:space="0" w:color="000000"/>
            </w:tcBorders>
            <w:shd w:val="clear" w:color="auto" w:fill="auto"/>
            <w:noWrap/>
            <w:vAlign w:val="bottom"/>
            <w:hideMark/>
          </w:tcPr>
          <w:p w14:paraId="445C7726" w14:textId="77777777" w:rsidR="009F7E46" w:rsidRPr="000E6E6A" w:rsidRDefault="009F7E46" w:rsidP="00B70E8E">
            <w:pPr>
              <w:spacing w:line="288" w:lineRule="auto"/>
              <w:jc w:val="both"/>
              <w:rPr>
                <w:rFonts w:ascii="AytoRoquetas Light Condensed" w:hAnsi="AytoRoquetas Light Condensed" w:cs="Calibri"/>
                <w:i/>
                <w:iCs/>
                <w:color w:val="000000"/>
                <w:sz w:val="20"/>
                <w:szCs w:val="20"/>
              </w:rPr>
            </w:pPr>
            <w:r w:rsidRPr="000E6E6A">
              <w:rPr>
                <w:rFonts w:ascii="AytoRoquetas Light Condensed" w:hAnsi="AytoRoquetas Light Condensed" w:cs="Calibri"/>
                <w:i/>
                <w:iCs/>
                <w:color w:val="000000"/>
                <w:sz w:val="20"/>
                <w:szCs w:val="20"/>
              </w:rPr>
              <w:t> </w:t>
            </w:r>
          </w:p>
        </w:tc>
        <w:tc>
          <w:tcPr>
            <w:tcW w:w="996" w:type="pct"/>
            <w:tcBorders>
              <w:top w:val="nil"/>
              <w:left w:val="nil"/>
              <w:bottom w:val="single" w:sz="4" w:space="0" w:color="000000"/>
              <w:right w:val="single" w:sz="4" w:space="0" w:color="000000"/>
            </w:tcBorders>
            <w:shd w:val="clear" w:color="auto" w:fill="auto"/>
            <w:noWrap/>
            <w:vAlign w:val="bottom"/>
            <w:hideMark/>
          </w:tcPr>
          <w:p w14:paraId="2A53C73F" w14:textId="77777777" w:rsidR="009F7E46" w:rsidRPr="000E6E6A" w:rsidRDefault="009F7E46" w:rsidP="00B70E8E">
            <w:pPr>
              <w:spacing w:line="288" w:lineRule="auto"/>
              <w:jc w:val="both"/>
              <w:rPr>
                <w:rFonts w:ascii="AytoRoquetas Light Condensed" w:hAnsi="AytoRoquetas Light Condensed" w:cs="Calibri"/>
                <w:i/>
                <w:iCs/>
                <w:color w:val="000000"/>
                <w:sz w:val="20"/>
                <w:szCs w:val="20"/>
              </w:rPr>
            </w:pPr>
            <w:r w:rsidRPr="000E6E6A">
              <w:rPr>
                <w:rFonts w:ascii="AytoRoquetas Light Condensed" w:hAnsi="AytoRoquetas Light Condensed" w:cs="Calibri"/>
                <w:i/>
                <w:iCs/>
                <w:color w:val="000000"/>
                <w:sz w:val="20"/>
                <w:szCs w:val="20"/>
              </w:rPr>
              <w:t>789,47</w:t>
            </w:r>
          </w:p>
        </w:tc>
      </w:tr>
      <w:tr w:rsidR="009F7E46" w:rsidRPr="000E6E6A" w14:paraId="6B12CFCC" w14:textId="77777777" w:rsidTr="00B70E8E">
        <w:trPr>
          <w:trHeight w:val="375"/>
        </w:trPr>
        <w:tc>
          <w:tcPr>
            <w:tcW w:w="2131" w:type="pct"/>
            <w:tcBorders>
              <w:top w:val="nil"/>
              <w:left w:val="single" w:sz="4" w:space="0" w:color="000000"/>
              <w:bottom w:val="single" w:sz="4" w:space="0" w:color="000000"/>
              <w:right w:val="single" w:sz="4" w:space="0" w:color="000000"/>
            </w:tcBorders>
            <w:shd w:val="clear" w:color="auto" w:fill="auto"/>
            <w:noWrap/>
            <w:vAlign w:val="bottom"/>
            <w:hideMark/>
          </w:tcPr>
          <w:p w14:paraId="4B91A48D" w14:textId="77777777" w:rsidR="009F7E46" w:rsidRPr="000E6E6A" w:rsidRDefault="009F7E46" w:rsidP="00B70E8E">
            <w:pPr>
              <w:spacing w:line="288" w:lineRule="auto"/>
              <w:jc w:val="both"/>
              <w:rPr>
                <w:rFonts w:ascii="AytoRoquetas Light Condensed" w:hAnsi="AytoRoquetas Light Condensed" w:cs="Calibri"/>
                <w:b/>
                <w:bCs/>
                <w:i/>
                <w:iCs/>
                <w:color w:val="000000"/>
                <w:sz w:val="20"/>
                <w:szCs w:val="20"/>
              </w:rPr>
            </w:pPr>
            <w:r w:rsidRPr="000E6E6A">
              <w:rPr>
                <w:rFonts w:ascii="AytoRoquetas Light Condensed" w:hAnsi="AytoRoquetas Light Condensed" w:cs="Calibri"/>
                <w:b/>
                <w:bCs/>
                <w:i/>
                <w:iCs/>
                <w:color w:val="000000"/>
                <w:sz w:val="20"/>
                <w:szCs w:val="20"/>
              </w:rPr>
              <w:t>TOTAL</w:t>
            </w:r>
          </w:p>
        </w:tc>
        <w:tc>
          <w:tcPr>
            <w:tcW w:w="876" w:type="pct"/>
            <w:tcBorders>
              <w:top w:val="nil"/>
              <w:left w:val="nil"/>
              <w:bottom w:val="single" w:sz="4" w:space="0" w:color="000000"/>
              <w:right w:val="single" w:sz="4" w:space="0" w:color="000000"/>
            </w:tcBorders>
            <w:shd w:val="clear" w:color="auto" w:fill="auto"/>
            <w:noWrap/>
            <w:vAlign w:val="bottom"/>
            <w:hideMark/>
          </w:tcPr>
          <w:p w14:paraId="2D628685" w14:textId="77777777" w:rsidR="009F7E46" w:rsidRPr="000E6E6A" w:rsidRDefault="009F7E46" w:rsidP="00B70E8E">
            <w:pPr>
              <w:spacing w:line="288" w:lineRule="auto"/>
              <w:jc w:val="both"/>
              <w:rPr>
                <w:rFonts w:ascii="AytoRoquetas Light Condensed" w:hAnsi="AytoRoquetas Light Condensed" w:cs="Calibri"/>
                <w:b/>
                <w:bCs/>
                <w:i/>
                <w:iCs/>
                <w:color w:val="000000"/>
                <w:sz w:val="20"/>
                <w:szCs w:val="20"/>
              </w:rPr>
            </w:pPr>
            <w:r w:rsidRPr="000E6E6A">
              <w:rPr>
                <w:rFonts w:ascii="AytoRoquetas Light Condensed" w:hAnsi="AytoRoquetas Light Condensed" w:cs="Calibri"/>
                <w:b/>
                <w:bCs/>
                <w:i/>
                <w:iCs/>
                <w:color w:val="000000"/>
                <w:sz w:val="20"/>
                <w:szCs w:val="20"/>
              </w:rPr>
              <w:t>2.288,94</w:t>
            </w:r>
          </w:p>
        </w:tc>
        <w:tc>
          <w:tcPr>
            <w:tcW w:w="997" w:type="pct"/>
            <w:tcBorders>
              <w:top w:val="nil"/>
              <w:left w:val="nil"/>
              <w:bottom w:val="single" w:sz="4" w:space="0" w:color="000000"/>
              <w:right w:val="single" w:sz="4" w:space="0" w:color="000000"/>
            </w:tcBorders>
            <w:shd w:val="clear" w:color="auto" w:fill="auto"/>
            <w:noWrap/>
            <w:vAlign w:val="bottom"/>
            <w:hideMark/>
          </w:tcPr>
          <w:p w14:paraId="37CF793A" w14:textId="77777777" w:rsidR="009F7E46" w:rsidRPr="000E6E6A" w:rsidRDefault="009F7E46" w:rsidP="00B70E8E">
            <w:pPr>
              <w:spacing w:line="288" w:lineRule="auto"/>
              <w:jc w:val="both"/>
              <w:rPr>
                <w:rFonts w:ascii="AytoRoquetas Light Condensed" w:hAnsi="AytoRoquetas Light Condensed" w:cs="Calibri"/>
                <w:b/>
                <w:bCs/>
                <w:i/>
                <w:iCs/>
                <w:color w:val="000000"/>
                <w:sz w:val="20"/>
                <w:szCs w:val="20"/>
              </w:rPr>
            </w:pPr>
            <w:r w:rsidRPr="000E6E6A">
              <w:rPr>
                <w:rFonts w:ascii="AytoRoquetas Light Condensed" w:hAnsi="AytoRoquetas Light Condensed" w:cs="Calibri"/>
                <w:b/>
                <w:bCs/>
                <w:i/>
                <w:iCs/>
                <w:color w:val="000000"/>
                <w:sz w:val="20"/>
                <w:szCs w:val="20"/>
              </w:rPr>
              <w:t>20.992,76</w:t>
            </w:r>
          </w:p>
        </w:tc>
        <w:tc>
          <w:tcPr>
            <w:tcW w:w="996" w:type="pct"/>
            <w:tcBorders>
              <w:top w:val="nil"/>
              <w:left w:val="nil"/>
              <w:bottom w:val="single" w:sz="4" w:space="0" w:color="000000"/>
              <w:right w:val="single" w:sz="4" w:space="0" w:color="000000"/>
            </w:tcBorders>
            <w:shd w:val="clear" w:color="auto" w:fill="auto"/>
            <w:noWrap/>
            <w:vAlign w:val="bottom"/>
            <w:hideMark/>
          </w:tcPr>
          <w:p w14:paraId="2D6A88E7" w14:textId="77777777" w:rsidR="009F7E46" w:rsidRPr="000E6E6A" w:rsidRDefault="009F7E46" w:rsidP="00B70E8E">
            <w:pPr>
              <w:spacing w:line="288" w:lineRule="auto"/>
              <w:jc w:val="both"/>
              <w:rPr>
                <w:rFonts w:ascii="AytoRoquetas Light Condensed" w:hAnsi="AytoRoquetas Light Condensed" w:cs="Calibri"/>
                <w:b/>
                <w:bCs/>
                <w:i/>
                <w:iCs/>
                <w:color w:val="000000"/>
                <w:sz w:val="20"/>
                <w:szCs w:val="20"/>
              </w:rPr>
            </w:pPr>
            <w:r w:rsidRPr="000E6E6A">
              <w:rPr>
                <w:rFonts w:ascii="AytoRoquetas Light Condensed" w:hAnsi="AytoRoquetas Light Condensed" w:cs="Calibri"/>
                <w:b/>
                <w:bCs/>
                <w:i/>
                <w:iCs/>
                <w:color w:val="000000"/>
                <w:sz w:val="20"/>
                <w:szCs w:val="20"/>
              </w:rPr>
              <w:t>23.281,70</w:t>
            </w:r>
          </w:p>
        </w:tc>
      </w:tr>
    </w:tbl>
    <w:p w14:paraId="4BBAA2B2" w14:textId="77777777" w:rsidR="009F7E46" w:rsidRPr="000E6E6A" w:rsidRDefault="009F7E46" w:rsidP="009F7E46">
      <w:pPr>
        <w:spacing w:line="288" w:lineRule="auto"/>
        <w:jc w:val="both"/>
        <w:rPr>
          <w:rFonts w:ascii="AytoRoquetas Light Condensed" w:hAnsi="AytoRoquetas Light Condensed"/>
          <w:i/>
          <w:iCs/>
          <w:sz w:val="20"/>
          <w:szCs w:val="20"/>
        </w:rPr>
      </w:pPr>
    </w:p>
    <w:p w14:paraId="52005B8F" w14:textId="77777777" w:rsidR="009F7E46" w:rsidRPr="000E6E6A" w:rsidRDefault="009F7E46" w:rsidP="009F7E46">
      <w:pPr>
        <w:spacing w:line="288" w:lineRule="auto"/>
        <w:jc w:val="both"/>
        <w:rPr>
          <w:rFonts w:ascii="AytoRoquetas Light Condensed" w:hAnsi="AytoRoquetas Light Condensed"/>
          <w:i/>
          <w:iCs/>
          <w:sz w:val="20"/>
          <w:szCs w:val="20"/>
        </w:rPr>
      </w:pPr>
      <w:r w:rsidRPr="000E6E6A">
        <w:rPr>
          <w:rFonts w:ascii="AytoRoquetas Light Condensed" w:hAnsi="AytoRoquetas Light Condensed"/>
          <w:i/>
          <w:iCs/>
          <w:sz w:val="20"/>
          <w:szCs w:val="20"/>
        </w:rPr>
        <w:t>TERCERO. - Dar traslado de la presente liquidación a la empresa adjudicataria requiriéndole para que abone las cantidades adeudadas, comunicándole que contra la misma cabrán los recursos indicados en la notificación.”</w:t>
      </w:r>
    </w:p>
    <w:p w14:paraId="72C54F11" w14:textId="77777777" w:rsidR="009F7E46" w:rsidRPr="000E6E6A" w:rsidRDefault="009F7E46" w:rsidP="009F7E46">
      <w:pPr>
        <w:jc w:val="both"/>
        <w:rPr>
          <w:rFonts w:ascii="AytoRoquetas Light Condensed" w:hAnsi="AytoRoquetas Light Condensed"/>
          <w:sz w:val="20"/>
          <w:szCs w:val="20"/>
        </w:rPr>
      </w:pPr>
      <w:r w:rsidRPr="000E6E6A">
        <w:rPr>
          <w:rFonts w:ascii="AytoRoquetas Light Condensed" w:hAnsi="AytoRoquetas Light Condensed"/>
          <w:sz w:val="20"/>
          <w:szCs w:val="20"/>
        </w:rPr>
        <w:t xml:space="preserve"> Dicha resolución fue debidamente notificada a la mercantil hoy recurrente en fecha 10 de enero de 2023.</w:t>
      </w:r>
    </w:p>
    <w:p w14:paraId="16774261" w14:textId="0F6394A3" w:rsidR="009F7E46" w:rsidRDefault="009F7E46" w:rsidP="009F7E46">
      <w:pPr>
        <w:jc w:val="both"/>
        <w:rPr>
          <w:rFonts w:ascii="AytoRoquetas Light Condensed" w:hAnsi="AytoRoquetas Light Condensed"/>
          <w:sz w:val="20"/>
          <w:szCs w:val="20"/>
        </w:rPr>
      </w:pPr>
      <w:r w:rsidRPr="009F7E46">
        <w:rPr>
          <w:rFonts w:ascii="AytoRoquetas Light Condensed" w:hAnsi="AytoRoquetas Light Condensed"/>
          <w:b/>
          <w:bCs/>
          <w:sz w:val="20"/>
          <w:szCs w:val="20"/>
        </w:rPr>
        <w:t>Segundo</w:t>
      </w:r>
      <w:r w:rsidRPr="000E6E6A">
        <w:rPr>
          <w:rFonts w:ascii="AytoRoquetas Light Condensed" w:hAnsi="AytoRoquetas Light Condensed"/>
          <w:sz w:val="20"/>
          <w:szCs w:val="20"/>
        </w:rPr>
        <w:t xml:space="preserve">.- En fecha 06 de febrero de 2023 </w:t>
      </w:r>
      <w:r>
        <w:rPr>
          <w:rFonts w:ascii="AytoRoquetas Light Condensed" w:hAnsi="AytoRoquetas Light Condensed"/>
          <w:sz w:val="20"/>
          <w:szCs w:val="20"/>
        </w:rPr>
        <w:t>tuvo</w:t>
      </w:r>
      <w:r w:rsidRPr="000E6E6A">
        <w:rPr>
          <w:rFonts w:ascii="AytoRoquetas Light Condensed" w:hAnsi="AytoRoquetas Light Condensed"/>
          <w:sz w:val="20"/>
          <w:szCs w:val="20"/>
        </w:rPr>
        <w:t xml:space="preserve"> registro de entrada en el CIAP escrito de interposición de Recurso de Reposición contra la Resolución anteriormente, solicitando en el cuerpo del mismo que se tenga por reconocido un crédito a su favor por parte del CIAP por importe de 62.596,58€ y que dicho importe resulte compensado del importe resultante del canon resultante de la liquidación correspondiente </w:t>
      </w:r>
      <w:r w:rsidRPr="000E6E6A">
        <w:rPr>
          <w:rFonts w:ascii="AytoRoquetas Light Condensed" w:hAnsi="AytoRoquetas Light Condensed"/>
          <w:sz w:val="20"/>
          <w:szCs w:val="20"/>
        </w:rPr>
        <w:lastRenderedPageBreak/>
        <w:t>al ejercicio 2021 a la mercantil compareciente, de modo que el importe a ingresar resulte efectivamente liquidado en la cantidad de 158.983,06€ frente al importe liquidado en la resolución recurrida que asciende a la cantidad de 198.297,94€.</w:t>
      </w:r>
    </w:p>
    <w:p w14:paraId="02CE09D6" w14:textId="5AB3BAB6" w:rsidR="009F7E46" w:rsidRDefault="009F7E46" w:rsidP="009F7E46">
      <w:pPr>
        <w:jc w:val="both"/>
        <w:rPr>
          <w:rFonts w:ascii="AytoRoquetas Light Condensed" w:hAnsi="AytoRoquetas Light Condensed"/>
          <w:sz w:val="20"/>
          <w:szCs w:val="20"/>
        </w:rPr>
      </w:pPr>
      <w:r w:rsidRPr="009F7E46">
        <w:rPr>
          <w:rFonts w:ascii="AytoRoquetas Light Condensed" w:hAnsi="AytoRoquetas Light Condensed"/>
          <w:b/>
          <w:bCs/>
          <w:sz w:val="20"/>
          <w:szCs w:val="20"/>
        </w:rPr>
        <w:t>Tercero</w:t>
      </w:r>
      <w:r>
        <w:rPr>
          <w:rFonts w:ascii="AytoRoquetas Light Condensed" w:hAnsi="AytoRoquetas Light Condensed"/>
          <w:sz w:val="20"/>
          <w:szCs w:val="20"/>
        </w:rPr>
        <w:t xml:space="preserve">. - Mediante Resolución dictada en fecha 07 de marzo de 2023 por el </w:t>
      </w:r>
      <w:proofErr w:type="gramStart"/>
      <w:r>
        <w:rPr>
          <w:rFonts w:ascii="AytoRoquetas Light Condensed" w:hAnsi="AytoRoquetas Light Condensed"/>
          <w:sz w:val="20"/>
          <w:szCs w:val="20"/>
        </w:rPr>
        <w:t>Presidente</w:t>
      </w:r>
      <w:proofErr w:type="gramEnd"/>
      <w:r>
        <w:rPr>
          <w:rFonts w:ascii="AytoRoquetas Light Condensed" w:hAnsi="AytoRoquetas Light Condensed"/>
          <w:sz w:val="20"/>
          <w:szCs w:val="20"/>
        </w:rPr>
        <w:t xml:space="preserve"> del CIAP se dispuso </w:t>
      </w:r>
    </w:p>
    <w:p w14:paraId="7E942510" w14:textId="77777777" w:rsidR="009F7E46" w:rsidRPr="000E6E6A" w:rsidRDefault="009F7E46" w:rsidP="009F7E46">
      <w:pPr>
        <w:jc w:val="both"/>
        <w:rPr>
          <w:rFonts w:ascii="AytoRoquetas Light Condensed" w:hAnsi="AytoRoquetas Light Condensed"/>
          <w:sz w:val="20"/>
          <w:szCs w:val="20"/>
        </w:rPr>
      </w:pPr>
      <w:r>
        <w:rPr>
          <w:rFonts w:ascii="AytoRoquetas Light Condensed" w:hAnsi="AytoRoquetas Light Condensed"/>
          <w:sz w:val="20"/>
          <w:szCs w:val="20"/>
        </w:rPr>
        <w:t>“</w:t>
      </w:r>
      <w:r w:rsidRPr="000E6E6A">
        <w:rPr>
          <w:rFonts w:ascii="AytoRoquetas Light Condensed" w:hAnsi="AytoRoquetas Light Condensed"/>
          <w:b/>
          <w:bCs/>
          <w:sz w:val="20"/>
          <w:szCs w:val="20"/>
        </w:rPr>
        <w:t>PRIMERO</w:t>
      </w:r>
      <w:r w:rsidRPr="000E6E6A">
        <w:rPr>
          <w:rFonts w:ascii="AytoRoquetas Light Condensed" w:hAnsi="AytoRoquetas Light Condensed"/>
          <w:sz w:val="20"/>
          <w:szCs w:val="20"/>
        </w:rPr>
        <w:t xml:space="preserve">. - Desestimar íntegramente el recurso de reposición interpuesto contra la liquidación del ingreso de derecho público aprobada por Decreto de fecha 27 de diciembre de 2022 del </w:t>
      </w:r>
      <w:proofErr w:type="gramStart"/>
      <w:r w:rsidRPr="000E6E6A">
        <w:rPr>
          <w:rFonts w:ascii="AytoRoquetas Light Condensed" w:hAnsi="AytoRoquetas Light Condensed"/>
          <w:sz w:val="20"/>
          <w:szCs w:val="20"/>
        </w:rPr>
        <w:t>Presidente</w:t>
      </w:r>
      <w:proofErr w:type="gramEnd"/>
      <w:r w:rsidRPr="000E6E6A">
        <w:rPr>
          <w:rFonts w:ascii="AytoRoquetas Light Condensed" w:hAnsi="AytoRoquetas Light Condensed"/>
          <w:sz w:val="20"/>
          <w:szCs w:val="20"/>
        </w:rPr>
        <w:t xml:space="preserve"> del Consorcio de Gestión de los Servicios Integrados de Abastecimiento de Aguas y Saneamiento del Poniente Almeriense, Resolución administrativa nº 593 en virtud de la cual se dispuso:</w:t>
      </w:r>
    </w:p>
    <w:p w14:paraId="145EC602" w14:textId="77777777" w:rsidR="009F7E46" w:rsidRPr="000E6E6A" w:rsidRDefault="009F7E46" w:rsidP="009F7E46">
      <w:pPr>
        <w:spacing w:line="288" w:lineRule="auto"/>
        <w:jc w:val="both"/>
        <w:rPr>
          <w:rFonts w:ascii="AytoRoquetas Light Condensed" w:hAnsi="AytoRoquetas Light Condensed"/>
          <w:i/>
          <w:iCs/>
          <w:sz w:val="20"/>
          <w:szCs w:val="20"/>
        </w:rPr>
      </w:pPr>
      <w:r w:rsidRPr="000E6E6A">
        <w:rPr>
          <w:rFonts w:ascii="AytoRoquetas Light Condensed" w:hAnsi="AytoRoquetas Light Condensed"/>
          <w:sz w:val="20"/>
          <w:szCs w:val="20"/>
        </w:rPr>
        <w:t>“</w:t>
      </w:r>
      <w:r w:rsidRPr="000E6E6A">
        <w:rPr>
          <w:rFonts w:ascii="AytoRoquetas Light Condensed" w:hAnsi="AytoRoquetas Light Condensed"/>
          <w:i/>
          <w:iCs/>
          <w:sz w:val="20"/>
          <w:szCs w:val="20"/>
        </w:rPr>
        <w:t xml:space="preserve">PRIMERO. - Aprobar la liquidación de derechos correspondiente a la diferencia entre la tasa vigente y coste unitario del servicio, a la empresa </w:t>
      </w:r>
      <w:proofErr w:type="spellStart"/>
      <w:r w:rsidRPr="000E6E6A">
        <w:rPr>
          <w:rFonts w:ascii="AytoRoquetas Light Condensed" w:hAnsi="AytoRoquetas Light Condensed"/>
          <w:i/>
          <w:iCs/>
          <w:sz w:val="20"/>
          <w:szCs w:val="20"/>
        </w:rPr>
        <w:t>Hidralia</w:t>
      </w:r>
      <w:proofErr w:type="spellEnd"/>
      <w:r w:rsidRPr="000E6E6A">
        <w:rPr>
          <w:rFonts w:ascii="AytoRoquetas Light Condensed" w:hAnsi="AytoRoquetas Light Condensed"/>
          <w:i/>
          <w:iCs/>
          <w:sz w:val="20"/>
          <w:szCs w:val="20"/>
        </w:rPr>
        <w:t xml:space="preserve"> Gestión Integral de Aguas de Andalucía S.A., en la cantidad de 221.579’64 euros, ejercicio de 2021.</w:t>
      </w:r>
    </w:p>
    <w:p w14:paraId="21D4E758" w14:textId="435EED13" w:rsidR="009F7E46" w:rsidRPr="000E6E6A" w:rsidRDefault="009F7E46" w:rsidP="009F7E46">
      <w:pPr>
        <w:jc w:val="both"/>
        <w:rPr>
          <w:rFonts w:ascii="AytoRoquetas Light Condensed" w:hAnsi="AytoRoquetas Light Condensed"/>
          <w:sz w:val="20"/>
          <w:szCs w:val="20"/>
        </w:rPr>
      </w:pPr>
      <w:r w:rsidRPr="000E6E6A">
        <w:rPr>
          <w:rFonts w:ascii="AytoRoquetas Light Condensed" w:hAnsi="AytoRoquetas Light Condensed"/>
          <w:i/>
          <w:iCs/>
          <w:sz w:val="20"/>
          <w:szCs w:val="20"/>
        </w:rPr>
        <w:t xml:space="preserve">SEGUNDO. - Aprobar la compensación contra la liquidación anterior, de las siguientes deudas pagadas por la Concesionaria a la Junta de Andalucía en cumplimiento del acuerdo adoptado por la Junta General del Consorcio en su acta núm. 42/2020, siendo el líquido a ingresar por la Concesionaria a este Consorcio de 198.297,94 € (…)” </w:t>
      </w:r>
      <w:r w:rsidRPr="000E6E6A">
        <w:rPr>
          <w:rFonts w:ascii="AytoRoquetas Light Condensed" w:hAnsi="AytoRoquetas Light Condensed"/>
          <w:sz w:val="20"/>
          <w:szCs w:val="20"/>
        </w:rPr>
        <w:t>ratificando íntegramente su contenido por resultar plenamente ajustado a Derecho.</w:t>
      </w:r>
    </w:p>
    <w:p w14:paraId="10956DD6" w14:textId="7976E492" w:rsidR="009F7E46" w:rsidRDefault="009F7E46" w:rsidP="009F7E46">
      <w:pPr>
        <w:jc w:val="both"/>
        <w:rPr>
          <w:rFonts w:ascii="AytoRoquetas Light Condensed" w:hAnsi="AytoRoquetas Light Condensed"/>
          <w:sz w:val="20"/>
          <w:szCs w:val="20"/>
        </w:rPr>
      </w:pPr>
      <w:r w:rsidRPr="000E6E6A">
        <w:rPr>
          <w:rFonts w:ascii="AytoRoquetas Light Condensed" w:hAnsi="AytoRoquetas Light Condensed"/>
          <w:b/>
          <w:bCs/>
          <w:sz w:val="20"/>
          <w:szCs w:val="20"/>
        </w:rPr>
        <w:t>SEGUNDO</w:t>
      </w:r>
      <w:r w:rsidRPr="000E6E6A">
        <w:rPr>
          <w:rFonts w:ascii="AytoRoquetas Light Condensed" w:hAnsi="AytoRoquetas Light Condensed"/>
          <w:sz w:val="20"/>
          <w:szCs w:val="20"/>
        </w:rPr>
        <w:t>. – Notificar la presente Resolución a HIDRALIA GESTION INTEGRAL AGUAS AND. SA, haciéndole saber de los medios de impugnación de los que dispone, así como de las circunstancias de tiempo, lugar y forma en que puede hacerlos valer.</w:t>
      </w:r>
      <w:r>
        <w:rPr>
          <w:rFonts w:ascii="AytoRoquetas Light Condensed" w:hAnsi="AytoRoquetas Light Condensed"/>
          <w:sz w:val="20"/>
          <w:szCs w:val="20"/>
        </w:rPr>
        <w:t>”</w:t>
      </w:r>
    </w:p>
    <w:p w14:paraId="1270C233" w14:textId="5E2D5416" w:rsidR="009F7E46" w:rsidRDefault="009F7E46" w:rsidP="009F7E46">
      <w:pPr>
        <w:jc w:val="both"/>
        <w:rPr>
          <w:rFonts w:ascii="AytoRoquetas Light Condensed" w:hAnsi="AytoRoquetas Light Condensed"/>
          <w:sz w:val="20"/>
          <w:szCs w:val="20"/>
        </w:rPr>
      </w:pPr>
      <w:r>
        <w:rPr>
          <w:rFonts w:ascii="AytoRoquetas Light Condensed" w:hAnsi="AytoRoquetas Light Condensed"/>
          <w:sz w:val="20"/>
          <w:szCs w:val="20"/>
        </w:rPr>
        <w:t>Esta resolución fue debidamente notificada a la empresa interesada en fecha 07 de marzo de 2023.</w:t>
      </w:r>
    </w:p>
    <w:p w14:paraId="6693B2E9" w14:textId="1F1E04CE" w:rsidR="009F7E46" w:rsidRDefault="009F7E46" w:rsidP="009F7E46">
      <w:pPr>
        <w:jc w:val="both"/>
        <w:rPr>
          <w:rFonts w:ascii="AytoRoquetas Light Condensed" w:hAnsi="AytoRoquetas Light Condensed"/>
          <w:sz w:val="20"/>
          <w:szCs w:val="20"/>
        </w:rPr>
      </w:pPr>
      <w:r w:rsidRPr="009F7E46">
        <w:rPr>
          <w:rFonts w:ascii="AytoRoquetas Light Condensed" w:hAnsi="AytoRoquetas Light Condensed"/>
          <w:b/>
          <w:bCs/>
          <w:sz w:val="20"/>
          <w:szCs w:val="20"/>
        </w:rPr>
        <w:t>Cuarto</w:t>
      </w:r>
      <w:r>
        <w:rPr>
          <w:rFonts w:ascii="AytoRoquetas Light Condensed" w:hAnsi="AytoRoquetas Light Condensed"/>
          <w:sz w:val="20"/>
          <w:szCs w:val="20"/>
        </w:rPr>
        <w:t>. - En fecha 28 de abril de 2023 la empresa hoy recurrente abonó el principal de la deuda anteriormente liquidada por importe de 198.297,94€.</w:t>
      </w:r>
    </w:p>
    <w:p w14:paraId="7E5E6BEC" w14:textId="1D83DD5D" w:rsidR="009F7E46" w:rsidRDefault="009F7E46" w:rsidP="009F7E46">
      <w:pPr>
        <w:jc w:val="both"/>
        <w:rPr>
          <w:rFonts w:ascii="AytoRoquetas Light Condensed" w:hAnsi="AytoRoquetas Light Condensed"/>
          <w:sz w:val="20"/>
          <w:szCs w:val="20"/>
        </w:rPr>
      </w:pPr>
      <w:r w:rsidRPr="009F7E46">
        <w:rPr>
          <w:rFonts w:ascii="AytoRoquetas Light Condensed" w:hAnsi="AytoRoquetas Light Condensed"/>
          <w:b/>
          <w:bCs/>
          <w:sz w:val="20"/>
          <w:szCs w:val="20"/>
        </w:rPr>
        <w:t>Quinto</w:t>
      </w:r>
      <w:r>
        <w:rPr>
          <w:rFonts w:ascii="AytoRoquetas Light Condensed" w:hAnsi="AytoRoquetas Light Condensed"/>
          <w:sz w:val="20"/>
          <w:szCs w:val="20"/>
        </w:rPr>
        <w:t xml:space="preserve">. – En fecha 15 de noviembre de 2023 se dictó por parte del </w:t>
      </w:r>
      <w:proofErr w:type="gramStart"/>
      <w:r>
        <w:rPr>
          <w:rFonts w:ascii="AytoRoquetas Light Condensed" w:hAnsi="AytoRoquetas Light Condensed"/>
          <w:sz w:val="20"/>
          <w:szCs w:val="20"/>
        </w:rPr>
        <w:t>Presidente</w:t>
      </w:r>
      <w:proofErr w:type="gramEnd"/>
      <w:r>
        <w:rPr>
          <w:rFonts w:ascii="AytoRoquetas Light Condensed" w:hAnsi="AytoRoquetas Light Condensed"/>
          <w:sz w:val="20"/>
          <w:szCs w:val="20"/>
        </w:rPr>
        <w:t xml:space="preserve"> del CIAP Resolución en virtud de la cual se dispuso aprobar la liquidación de recargo </w:t>
      </w:r>
      <w:r w:rsidR="00A62DCB">
        <w:rPr>
          <w:rFonts w:ascii="AytoRoquetas Light Condensed" w:hAnsi="AytoRoquetas Light Condensed"/>
          <w:sz w:val="20"/>
          <w:szCs w:val="20"/>
        </w:rPr>
        <w:t>ejecutivo del</w:t>
      </w:r>
      <w:r>
        <w:rPr>
          <w:rFonts w:ascii="AytoRoquetas Light Condensed" w:hAnsi="AytoRoquetas Light Condensed"/>
          <w:sz w:val="20"/>
          <w:szCs w:val="20"/>
        </w:rPr>
        <w:t xml:space="preserve"> 5% del importe de principal ingresado en periodo ejecutivo, ascendiendo dicho recargo ejecutivo a la cantidad de 9.914,89€. </w:t>
      </w:r>
    </w:p>
    <w:p w14:paraId="055E526C" w14:textId="1BF75C80" w:rsidR="009F7E46" w:rsidRDefault="009F7E46" w:rsidP="009F7E46">
      <w:pPr>
        <w:jc w:val="both"/>
        <w:rPr>
          <w:rFonts w:ascii="AytoRoquetas Light Condensed" w:hAnsi="AytoRoquetas Light Condensed"/>
          <w:sz w:val="20"/>
          <w:szCs w:val="20"/>
        </w:rPr>
      </w:pPr>
      <w:r w:rsidRPr="009F7E46">
        <w:rPr>
          <w:rFonts w:ascii="AytoRoquetas Light Condensed" w:hAnsi="AytoRoquetas Light Condensed"/>
          <w:sz w:val="20"/>
          <w:szCs w:val="20"/>
        </w:rPr>
        <w:t xml:space="preserve">Esta resolución fue debidamente notificada a </w:t>
      </w:r>
      <w:proofErr w:type="spellStart"/>
      <w:r w:rsidRPr="009F7E46">
        <w:rPr>
          <w:rFonts w:ascii="AytoRoquetas Light Condensed" w:hAnsi="AytoRoquetas Light Condensed"/>
          <w:sz w:val="20"/>
          <w:szCs w:val="20"/>
        </w:rPr>
        <w:t>Hidralia</w:t>
      </w:r>
      <w:proofErr w:type="spellEnd"/>
      <w:r w:rsidRPr="009F7E46">
        <w:rPr>
          <w:rFonts w:ascii="AytoRoquetas Light Condensed" w:hAnsi="AytoRoquetas Light Condensed"/>
          <w:sz w:val="20"/>
          <w:szCs w:val="20"/>
        </w:rPr>
        <w:t xml:space="preserve"> Gestión Integral de Aguas de Andalucía S.A</w:t>
      </w:r>
      <w:r>
        <w:rPr>
          <w:rFonts w:ascii="AytoRoquetas Light Condensed" w:hAnsi="AytoRoquetas Light Condensed"/>
          <w:sz w:val="20"/>
          <w:szCs w:val="20"/>
        </w:rPr>
        <w:t xml:space="preserve"> mediante diligencia electrónica de fecha </w:t>
      </w:r>
      <w:r w:rsidR="00A62DCB">
        <w:rPr>
          <w:rFonts w:ascii="AytoRoquetas Light Condensed" w:hAnsi="AytoRoquetas Light Condensed"/>
          <w:sz w:val="20"/>
          <w:szCs w:val="20"/>
        </w:rPr>
        <w:t>15 de noviembre de 2023</w:t>
      </w:r>
    </w:p>
    <w:p w14:paraId="6B80C845" w14:textId="7EF7DF7C" w:rsidR="00A62DCB" w:rsidRDefault="00A62DCB" w:rsidP="009F7E46">
      <w:pPr>
        <w:jc w:val="both"/>
        <w:rPr>
          <w:rFonts w:ascii="AytoRoquetas Light Condensed" w:hAnsi="AytoRoquetas Light Condensed"/>
          <w:sz w:val="20"/>
          <w:szCs w:val="20"/>
        </w:rPr>
      </w:pPr>
      <w:r w:rsidRPr="00A62DCB">
        <w:rPr>
          <w:rFonts w:ascii="AytoRoquetas Light Condensed" w:hAnsi="AytoRoquetas Light Condensed"/>
          <w:b/>
          <w:bCs/>
          <w:sz w:val="20"/>
          <w:szCs w:val="20"/>
        </w:rPr>
        <w:t>Sexto</w:t>
      </w:r>
      <w:r>
        <w:rPr>
          <w:rFonts w:ascii="AytoRoquetas Light Condensed" w:hAnsi="AytoRoquetas Light Condensed"/>
          <w:sz w:val="20"/>
          <w:szCs w:val="20"/>
        </w:rPr>
        <w:t xml:space="preserve">. - En fecha </w:t>
      </w:r>
      <w:r w:rsidRPr="00A62DCB">
        <w:rPr>
          <w:rFonts w:ascii="AytoRoquetas Light Condensed" w:hAnsi="AytoRoquetas Light Condensed"/>
          <w:b/>
          <w:bCs/>
          <w:sz w:val="20"/>
          <w:szCs w:val="20"/>
        </w:rPr>
        <w:t>15 de diciembre de 2023</w:t>
      </w:r>
      <w:r>
        <w:rPr>
          <w:rFonts w:ascii="AytoRoquetas Light Condensed" w:hAnsi="AytoRoquetas Light Condensed"/>
          <w:sz w:val="20"/>
          <w:szCs w:val="20"/>
        </w:rPr>
        <w:t xml:space="preserve"> tuvo registro de entrada correspondiente al nº de asiento 227 escrito de interposición de Recurso de Reposición contra la Resolución anteriormente indicada de fecha 15 de noviembre de 2023 por los motivos que </w:t>
      </w:r>
      <w:proofErr w:type="spellStart"/>
      <w:r>
        <w:rPr>
          <w:rFonts w:ascii="AytoRoquetas Light Condensed" w:hAnsi="AytoRoquetas Light Condensed"/>
          <w:sz w:val="20"/>
          <w:szCs w:val="20"/>
        </w:rPr>
        <w:t>mas</w:t>
      </w:r>
      <w:proofErr w:type="spellEnd"/>
      <w:r>
        <w:rPr>
          <w:rFonts w:ascii="AytoRoquetas Light Condensed" w:hAnsi="AytoRoquetas Light Condensed"/>
          <w:sz w:val="20"/>
          <w:szCs w:val="20"/>
        </w:rPr>
        <w:t xml:space="preserve"> tarde se dirán solicitando la reposición de la misma y solicitando su anulación y mediante otrosí la suspensión de la deuda liquidada en procedimiento ejecutivo. </w:t>
      </w:r>
    </w:p>
    <w:p w14:paraId="446EAAD4" w14:textId="37700AF5" w:rsidR="00A62DCB" w:rsidRPr="00A62DCB" w:rsidRDefault="00A62DCB" w:rsidP="009F7E46">
      <w:pPr>
        <w:jc w:val="both"/>
        <w:rPr>
          <w:rFonts w:ascii="AytoRoquetas Light Condensed" w:hAnsi="AytoRoquetas Light Condensed"/>
          <w:b/>
          <w:bCs/>
          <w:sz w:val="20"/>
          <w:szCs w:val="20"/>
        </w:rPr>
      </w:pPr>
      <w:r w:rsidRPr="00A62DCB">
        <w:rPr>
          <w:rFonts w:ascii="AytoRoquetas Light Condensed" w:hAnsi="AytoRoquetas Light Condensed"/>
          <w:b/>
          <w:bCs/>
          <w:sz w:val="20"/>
          <w:szCs w:val="20"/>
        </w:rPr>
        <w:t>FUNDAMENTOS DE DERECHO</w:t>
      </w:r>
    </w:p>
    <w:p w14:paraId="636F8CE9" w14:textId="77777777" w:rsidR="00A62DCB" w:rsidRPr="000E6E6A" w:rsidRDefault="00A62DCB" w:rsidP="00A62DCB">
      <w:pPr>
        <w:jc w:val="both"/>
        <w:rPr>
          <w:rFonts w:ascii="AytoRoquetas Light Condensed" w:hAnsi="AytoRoquetas Light Condensed"/>
          <w:sz w:val="20"/>
          <w:szCs w:val="20"/>
        </w:rPr>
      </w:pPr>
      <w:r w:rsidRPr="000E6E6A">
        <w:rPr>
          <w:rFonts w:ascii="AytoRoquetas Light Condensed" w:hAnsi="AytoRoquetas Light Condensed"/>
          <w:b/>
          <w:bCs/>
          <w:sz w:val="20"/>
          <w:szCs w:val="20"/>
        </w:rPr>
        <w:t xml:space="preserve">Primero. – </w:t>
      </w:r>
      <w:r w:rsidRPr="000E6E6A">
        <w:rPr>
          <w:rFonts w:ascii="AytoRoquetas Light Condensed" w:hAnsi="AytoRoquetas Light Condensed"/>
          <w:sz w:val="20"/>
          <w:szCs w:val="20"/>
        </w:rPr>
        <w:t>El Consorcio de Gestión de los Servicios Integrados de Abastecimiento de Aguas y Saneamiento del Poniente Almeriense, como entidad administrativa de derecho publica integrada en el perímetro de consolidación del Ayuntamiento de Roquetas de Mar se rige en cuanto a la disciplina presupuestaria y contable por las normas propias de las Entidades Locales.</w:t>
      </w:r>
    </w:p>
    <w:p w14:paraId="497DA1D5" w14:textId="567829FF" w:rsidR="00A62DCB" w:rsidRPr="000E6E6A" w:rsidRDefault="00A62DCB" w:rsidP="00A62DCB">
      <w:pPr>
        <w:jc w:val="both"/>
        <w:rPr>
          <w:rFonts w:ascii="AytoRoquetas Light Condensed" w:hAnsi="AytoRoquetas Light Condensed"/>
          <w:sz w:val="20"/>
          <w:szCs w:val="20"/>
        </w:rPr>
      </w:pPr>
      <w:r w:rsidRPr="000E6E6A">
        <w:rPr>
          <w:rFonts w:ascii="AytoRoquetas Light Condensed" w:hAnsi="AytoRoquetas Light Condensed"/>
          <w:sz w:val="20"/>
          <w:szCs w:val="20"/>
        </w:rPr>
        <w:t xml:space="preserve">Dispone el art. 14.2 del TRLHL, aprobado por Real Decreto Legislativo 2/2004 de 05 de </w:t>
      </w:r>
      <w:proofErr w:type="gramStart"/>
      <w:r w:rsidRPr="000E6E6A">
        <w:rPr>
          <w:rFonts w:ascii="AytoRoquetas Light Condensed" w:hAnsi="AytoRoquetas Light Condensed"/>
          <w:sz w:val="20"/>
          <w:szCs w:val="20"/>
        </w:rPr>
        <w:t xml:space="preserve">marzo </w:t>
      </w:r>
      <w:r w:rsidRPr="000E6E6A">
        <w:rPr>
          <w:rFonts w:ascii="AytoRoquetas Light Condensed" w:eastAsia="Times New Roman" w:hAnsi="AytoRoquetas Light Condensed" w:cs="Times New Roman"/>
          <w:color w:val="000000"/>
          <w:sz w:val="20"/>
          <w:szCs w:val="20"/>
          <w:lang w:eastAsia="es-ES"/>
        </w:rPr>
        <w:t xml:space="preserve"> </w:t>
      </w:r>
      <w:r>
        <w:rPr>
          <w:rFonts w:ascii="AytoRoquetas Light Condensed" w:eastAsia="Times New Roman" w:hAnsi="AytoRoquetas Light Condensed" w:cs="Times New Roman"/>
          <w:color w:val="000000"/>
          <w:sz w:val="20"/>
          <w:szCs w:val="20"/>
          <w:lang w:eastAsia="es-ES"/>
        </w:rPr>
        <w:t>“</w:t>
      </w:r>
      <w:proofErr w:type="gramEnd"/>
      <w:r w:rsidRPr="000E6E6A">
        <w:rPr>
          <w:rFonts w:ascii="AytoRoquetas Light Condensed" w:hAnsi="AytoRoquetas Light Condensed"/>
          <w:sz w:val="20"/>
          <w:szCs w:val="20"/>
        </w:rPr>
        <w:t>Contra los actos de aplicación y efectividad de los tributos y restantes ingresos de derecho público de las entidades locales, sólo podrá interponerse el recurso de reposición que a continuación se regula.</w:t>
      </w:r>
    </w:p>
    <w:p w14:paraId="73B64463" w14:textId="77777777" w:rsidR="00A62DCB" w:rsidRPr="000E6E6A" w:rsidRDefault="00A62DCB" w:rsidP="00A62DCB">
      <w:pPr>
        <w:jc w:val="both"/>
        <w:rPr>
          <w:rFonts w:ascii="AytoRoquetas Light Condensed" w:hAnsi="AytoRoquetas Light Condensed"/>
          <w:sz w:val="20"/>
          <w:szCs w:val="20"/>
        </w:rPr>
      </w:pPr>
      <w:r w:rsidRPr="000E6E6A">
        <w:rPr>
          <w:rFonts w:ascii="AytoRoquetas Light Condensed" w:hAnsi="AytoRoquetas Light Condensed"/>
          <w:sz w:val="20"/>
          <w:szCs w:val="20"/>
        </w:rPr>
        <w:t xml:space="preserve">a) Objeto y naturaleza. -Son impugnables, mediante el presente recurso de reposición, todos los actos dictados por las entidades locales en vía de gestión de sus tributos propios y de sus restantes </w:t>
      </w:r>
      <w:r w:rsidRPr="000E6E6A">
        <w:rPr>
          <w:rFonts w:ascii="AytoRoquetas Light Condensed" w:hAnsi="AytoRoquetas Light Condensed"/>
          <w:b/>
          <w:bCs/>
          <w:sz w:val="20"/>
          <w:szCs w:val="20"/>
        </w:rPr>
        <w:t>ingresos de derecho público</w:t>
      </w:r>
      <w:r w:rsidRPr="000E6E6A">
        <w:rPr>
          <w:rFonts w:ascii="AytoRoquetas Light Condensed" w:hAnsi="AytoRoquetas Light Condensed"/>
          <w:sz w:val="20"/>
          <w:szCs w:val="20"/>
        </w:rPr>
        <w:t xml:space="preserve">. Lo anterior se entiende sin perjuicio de los supuestos en los que la ley prevé la posibilidad de formular reclamaciones económico-administrativas contra actos dictados en vía de gestión de los </w:t>
      </w:r>
      <w:r w:rsidRPr="000E6E6A">
        <w:rPr>
          <w:rFonts w:ascii="AytoRoquetas Light Condensed" w:hAnsi="AytoRoquetas Light Condensed"/>
          <w:sz w:val="20"/>
          <w:szCs w:val="20"/>
        </w:rPr>
        <w:lastRenderedPageBreak/>
        <w:t>tributos locales; en tales casos, cuando los actos hayan sido dictados por una entidad local, el presente recurso de reposición será previo a la reclamación económico-administrativa.</w:t>
      </w:r>
    </w:p>
    <w:p w14:paraId="326A8C44" w14:textId="77777777" w:rsidR="00A62DCB" w:rsidRPr="000E6E6A" w:rsidRDefault="00A62DCB" w:rsidP="00A62DCB">
      <w:pPr>
        <w:jc w:val="both"/>
        <w:rPr>
          <w:rFonts w:ascii="AytoRoquetas Light Condensed" w:hAnsi="AytoRoquetas Light Condensed"/>
          <w:sz w:val="20"/>
          <w:szCs w:val="20"/>
        </w:rPr>
      </w:pPr>
      <w:r w:rsidRPr="000E6E6A">
        <w:rPr>
          <w:rFonts w:ascii="AytoRoquetas Light Condensed" w:hAnsi="AytoRoquetas Light Condensed"/>
          <w:sz w:val="20"/>
          <w:szCs w:val="20"/>
        </w:rPr>
        <w:t>b) Competencia para resolver. -Será competente para conocer y resolver el recurso de reposición el órgano de la entidad local que haya dictado el acto administrativo impugnado.</w:t>
      </w:r>
    </w:p>
    <w:p w14:paraId="3C93E1BF" w14:textId="77777777" w:rsidR="00A62DCB" w:rsidRPr="000E6E6A" w:rsidRDefault="00A62DCB" w:rsidP="00A62DCB">
      <w:pPr>
        <w:jc w:val="both"/>
        <w:rPr>
          <w:rFonts w:ascii="AytoRoquetas Light Condensed" w:hAnsi="AytoRoquetas Light Condensed"/>
          <w:sz w:val="20"/>
          <w:szCs w:val="20"/>
        </w:rPr>
      </w:pPr>
      <w:r w:rsidRPr="000E6E6A">
        <w:rPr>
          <w:rFonts w:ascii="AytoRoquetas Light Condensed" w:hAnsi="AytoRoquetas Light Condensed"/>
          <w:sz w:val="20"/>
          <w:szCs w:val="20"/>
        </w:rPr>
        <w:t xml:space="preserve">c) Plazo de interposición. -El recurso de reposición se interpondrá dentro del plazo de </w:t>
      </w:r>
      <w:r w:rsidRPr="000E6E6A">
        <w:rPr>
          <w:rFonts w:ascii="AytoRoquetas Light Condensed" w:hAnsi="AytoRoquetas Light Condensed"/>
          <w:b/>
          <w:bCs/>
          <w:sz w:val="20"/>
          <w:szCs w:val="20"/>
        </w:rPr>
        <w:t>un mes contado desde el día siguiente al de la notificación expresa del acto cuya revisión se solicita</w:t>
      </w:r>
      <w:r w:rsidRPr="000E6E6A">
        <w:rPr>
          <w:rFonts w:ascii="AytoRoquetas Light Condensed" w:hAnsi="AytoRoquetas Light Condensed"/>
          <w:sz w:val="20"/>
          <w:szCs w:val="20"/>
        </w:rPr>
        <w:t xml:space="preserve"> o al de finalización del período de exposición pública de los correspondientes padrones o matrículas de contribuyentes u obligados al pago.</w:t>
      </w:r>
    </w:p>
    <w:p w14:paraId="10483C73" w14:textId="77777777" w:rsidR="00A62DCB" w:rsidRPr="000E6E6A" w:rsidRDefault="00A62DCB" w:rsidP="00A62DCB">
      <w:pPr>
        <w:jc w:val="both"/>
        <w:rPr>
          <w:rFonts w:ascii="AytoRoquetas Light Condensed" w:hAnsi="AytoRoquetas Light Condensed"/>
          <w:sz w:val="20"/>
          <w:szCs w:val="20"/>
        </w:rPr>
      </w:pPr>
      <w:r w:rsidRPr="000E6E6A">
        <w:rPr>
          <w:rFonts w:ascii="AytoRoquetas Light Condensed" w:hAnsi="AytoRoquetas Light Condensed"/>
          <w:sz w:val="20"/>
          <w:szCs w:val="20"/>
        </w:rPr>
        <w:t>d) Legitimación. -Podrán interponer el recurso de reposición:</w:t>
      </w:r>
    </w:p>
    <w:p w14:paraId="3E43B602" w14:textId="77777777" w:rsidR="00A62DCB" w:rsidRPr="000E6E6A" w:rsidRDefault="00A62DCB" w:rsidP="00A62DCB">
      <w:pPr>
        <w:jc w:val="both"/>
        <w:rPr>
          <w:rFonts w:ascii="AytoRoquetas Light Condensed" w:hAnsi="AytoRoquetas Light Condensed"/>
          <w:sz w:val="20"/>
          <w:szCs w:val="20"/>
        </w:rPr>
      </w:pPr>
      <w:r w:rsidRPr="000E6E6A">
        <w:rPr>
          <w:rFonts w:ascii="AytoRoquetas Light Condensed" w:hAnsi="AytoRoquetas Light Condensed"/>
          <w:sz w:val="20"/>
          <w:szCs w:val="20"/>
        </w:rPr>
        <w:t xml:space="preserve">1.º </w:t>
      </w:r>
      <w:r w:rsidRPr="000E6E6A">
        <w:rPr>
          <w:rFonts w:ascii="AytoRoquetas Light Condensed" w:hAnsi="AytoRoquetas Light Condensed"/>
          <w:b/>
          <w:bCs/>
          <w:sz w:val="20"/>
          <w:szCs w:val="20"/>
        </w:rPr>
        <w:t>Los sujetos pasivos</w:t>
      </w:r>
      <w:r w:rsidRPr="000E6E6A">
        <w:rPr>
          <w:rFonts w:ascii="AytoRoquetas Light Condensed" w:hAnsi="AytoRoquetas Light Condensed"/>
          <w:sz w:val="20"/>
          <w:szCs w:val="20"/>
        </w:rPr>
        <w:t xml:space="preserve"> y, en su caso, los responsables de los tributos, así como los obligados a efectuar el ingreso de derecho público de que se trate.</w:t>
      </w:r>
    </w:p>
    <w:p w14:paraId="46AA4756" w14:textId="77777777" w:rsidR="00A62DCB" w:rsidRPr="000E6E6A" w:rsidRDefault="00A62DCB" w:rsidP="00A62DCB">
      <w:pPr>
        <w:jc w:val="both"/>
        <w:rPr>
          <w:rFonts w:ascii="AytoRoquetas Light Condensed" w:hAnsi="AytoRoquetas Light Condensed"/>
          <w:sz w:val="20"/>
          <w:szCs w:val="20"/>
        </w:rPr>
      </w:pPr>
      <w:r w:rsidRPr="000E6E6A">
        <w:rPr>
          <w:rFonts w:ascii="AytoRoquetas Light Condensed" w:hAnsi="AytoRoquetas Light Condensed"/>
          <w:sz w:val="20"/>
          <w:szCs w:val="20"/>
        </w:rPr>
        <w:t>2.º Cualquiera otra persona cuyos intereses legítimos y directos resulten afectados por el acto administrativo de gestión.</w:t>
      </w:r>
    </w:p>
    <w:p w14:paraId="0D7F9B91" w14:textId="77777777" w:rsidR="00A62DCB" w:rsidRPr="000E6E6A" w:rsidRDefault="00A62DCB" w:rsidP="00A62DCB">
      <w:pPr>
        <w:jc w:val="both"/>
        <w:rPr>
          <w:rFonts w:ascii="AytoRoquetas Light Condensed" w:hAnsi="AytoRoquetas Light Condensed"/>
          <w:sz w:val="20"/>
          <w:szCs w:val="20"/>
        </w:rPr>
      </w:pPr>
      <w:r w:rsidRPr="000E6E6A">
        <w:rPr>
          <w:rFonts w:ascii="AytoRoquetas Light Condensed" w:hAnsi="AytoRoquetas Light Condensed"/>
          <w:sz w:val="20"/>
          <w:szCs w:val="20"/>
        </w:rPr>
        <w:t>e) Representación y dirección técnica. -Los recurrentes podrán comparecer por sí mismos o por medio de representante, sin que sea preceptiva la intervención de abogado ni procurador.</w:t>
      </w:r>
    </w:p>
    <w:p w14:paraId="737FBDAC" w14:textId="77777777" w:rsidR="00A62DCB" w:rsidRPr="000E6E6A" w:rsidRDefault="00A62DCB" w:rsidP="00A62DCB">
      <w:pPr>
        <w:jc w:val="both"/>
        <w:rPr>
          <w:rFonts w:ascii="AytoRoquetas Light Condensed" w:hAnsi="AytoRoquetas Light Condensed"/>
          <w:sz w:val="20"/>
          <w:szCs w:val="20"/>
        </w:rPr>
      </w:pPr>
      <w:r w:rsidRPr="000E6E6A">
        <w:rPr>
          <w:rFonts w:ascii="AytoRoquetas Light Condensed" w:hAnsi="AytoRoquetas Light Condensed"/>
          <w:sz w:val="20"/>
          <w:szCs w:val="20"/>
        </w:rPr>
        <w:t>f) Iniciación. -El recurso de reposición se interpondrá por medio de escrito en el que se harán constar los siguientes extremos:</w:t>
      </w:r>
    </w:p>
    <w:p w14:paraId="069C71F0" w14:textId="77777777" w:rsidR="00A62DCB" w:rsidRPr="000E6E6A" w:rsidRDefault="00A62DCB" w:rsidP="00A62DCB">
      <w:pPr>
        <w:jc w:val="both"/>
        <w:rPr>
          <w:rFonts w:ascii="AytoRoquetas Light Condensed" w:hAnsi="AytoRoquetas Light Condensed"/>
          <w:sz w:val="20"/>
          <w:szCs w:val="20"/>
        </w:rPr>
      </w:pPr>
      <w:r w:rsidRPr="000E6E6A">
        <w:rPr>
          <w:rFonts w:ascii="AytoRoquetas Light Condensed" w:hAnsi="AytoRoquetas Light Condensed"/>
          <w:sz w:val="20"/>
          <w:szCs w:val="20"/>
        </w:rPr>
        <w:t>1.º Las circunstancias personales del recurrente y, en su caso, de su representante, con indicación del número del documento nacional de identidad o del código identificador.</w:t>
      </w:r>
    </w:p>
    <w:p w14:paraId="3ACBC0CE" w14:textId="77777777" w:rsidR="00A62DCB" w:rsidRPr="000E6E6A" w:rsidRDefault="00A62DCB" w:rsidP="00A62DCB">
      <w:pPr>
        <w:jc w:val="both"/>
        <w:rPr>
          <w:rFonts w:ascii="AytoRoquetas Light Condensed" w:hAnsi="AytoRoquetas Light Condensed"/>
          <w:sz w:val="20"/>
          <w:szCs w:val="20"/>
        </w:rPr>
      </w:pPr>
      <w:r w:rsidRPr="000E6E6A">
        <w:rPr>
          <w:rFonts w:ascii="AytoRoquetas Light Condensed" w:hAnsi="AytoRoquetas Light Condensed"/>
          <w:sz w:val="20"/>
          <w:szCs w:val="20"/>
        </w:rPr>
        <w:t>2.º El órgano ante quien se formula el recurso.</w:t>
      </w:r>
    </w:p>
    <w:p w14:paraId="35B076A7" w14:textId="77777777" w:rsidR="00A62DCB" w:rsidRPr="000E6E6A" w:rsidRDefault="00A62DCB" w:rsidP="00A62DCB">
      <w:pPr>
        <w:jc w:val="both"/>
        <w:rPr>
          <w:rFonts w:ascii="AytoRoquetas Light Condensed" w:hAnsi="AytoRoquetas Light Condensed"/>
          <w:sz w:val="20"/>
          <w:szCs w:val="20"/>
        </w:rPr>
      </w:pPr>
      <w:r w:rsidRPr="000E6E6A">
        <w:rPr>
          <w:rFonts w:ascii="AytoRoquetas Light Condensed" w:hAnsi="AytoRoquetas Light Condensed"/>
          <w:sz w:val="20"/>
          <w:szCs w:val="20"/>
        </w:rPr>
        <w:t>3.º El acto administrativo que se recurre, la fecha en que se dictó, número del expediente y demás datos relativos a aquel que se consideren convenientes.</w:t>
      </w:r>
    </w:p>
    <w:p w14:paraId="4DC4BA03" w14:textId="77777777" w:rsidR="00A62DCB" w:rsidRPr="000E6E6A" w:rsidRDefault="00A62DCB" w:rsidP="00A62DCB">
      <w:pPr>
        <w:jc w:val="both"/>
        <w:rPr>
          <w:rFonts w:ascii="AytoRoquetas Light Condensed" w:hAnsi="AytoRoquetas Light Condensed"/>
          <w:sz w:val="20"/>
          <w:szCs w:val="20"/>
        </w:rPr>
      </w:pPr>
      <w:r w:rsidRPr="000E6E6A">
        <w:rPr>
          <w:rFonts w:ascii="AytoRoquetas Light Condensed" w:hAnsi="AytoRoquetas Light Condensed"/>
          <w:sz w:val="20"/>
          <w:szCs w:val="20"/>
        </w:rPr>
        <w:t>4.º El domicilio que señale el recurrente a efectos de notificaciones.</w:t>
      </w:r>
    </w:p>
    <w:p w14:paraId="0F20DAA9" w14:textId="77777777" w:rsidR="00A62DCB" w:rsidRPr="000E6E6A" w:rsidRDefault="00A62DCB" w:rsidP="00A62DCB">
      <w:pPr>
        <w:jc w:val="both"/>
        <w:rPr>
          <w:rFonts w:ascii="AytoRoquetas Light Condensed" w:hAnsi="AytoRoquetas Light Condensed"/>
          <w:sz w:val="20"/>
          <w:szCs w:val="20"/>
        </w:rPr>
      </w:pPr>
      <w:r w:rsidRPr="000E6E6A">
        <w:rPr>
          <w:rFonts w:ascii="AytoRoquetas Light Condensed" w:hAnsi="AytoRoquetas Light Condensed"/>
          <w:sz w:val="20"/>
          <w:szCs w:val="20"/>
        </w:rPr>
        <w:t>5.º El lugar y la fecha de interposición del recurso.</w:t>
      </w:r>
    </w:p>
    <w:p w14:paraId="7A714980" w14:textId="77777777" w:rsidR="00A62DCB" w:rsidRPr="000E6E6A" w:rsidRDefault="00A62DCB" w:rsidP="00A62DCB">
      <w:pPr>
        <w:jc w:val="both"/>
        <w:rPr>
          <w:rFonts w:ascii="AytoRoquetas Light Condensed" w:hAnsi="AytoRoquetas Light Condensed"/>
          <w:sz w:val="20"/>
          <w:szCs w:val="20"/>
        </w:rPr>
      </w:pPr>
      <w:r w:rsidRPr="000E6E6A">
        <w:rPr>
          <w:rFonts w:ascii="AytoRoquetas Light Condensed" w:hAnsi="AytoRoquetas Light Condensed"/>
          <w:sz w:val="20"/>
          <w:szCs w:val="20"/>
        </w:rPr>
        <w:t>En el escrito de interposición se formularán las alegaciones tanto sobre cuestiones de hecho como de derecho. Con dicho escrito se presentarán los documentos que sirvan de base a la pretensión que se ejercita.</w:t>
      </w:r>
    </w:p>
    <w:p w14:paraId="671DB7F9" w14:textId="77777777" w:rsidR="00A62DCB" w:rsidRPr="000E6E6A" w:rsidRDefault="00A62DCB" w:rsidP="00A62DCB">
      <w:pPr>
        <w:jc w:val="both"/>
        <w:rPr>
          <w:rFonts w:ascii="AytoRoquetas Light Condensed" w:hAnsi="AytoRoquetas Light Condensed"/>
          <w:sz w:val="20"/>
          <w:szCs w:val="20"/>
        </w:rPr>
      </w:pPr>
      <w:r w:rsidRPr="000E6E6A">
        <w:rPr>
          <w:rFonts w:ascii="AytoRoquetas Light Condensed" w:hAnsi="AytoRoquetas Light Condensed"/>
          <w:sz w:val="20"/>
          <w:szCs w:val="20"/>
        </w:rPr>
        <w:t>Si se solicita la suspensión del acto impugnado, al escrito de iniciación del recurso se acompañarán los justificantes de las garantías constituidas de acuerdo con el párrafo i) siguiente.</w:t>
      </w:r>
    </w:p>
    <w:p w14:paraId="7A27AAB0" w14:textId="77777777" w:rsidR="00A62DCB" w:rsidRPr="000E6E6A" w:rsidRDefault="00A62DCB" w:rsidP="00A62DCB">
      <w:pPr>
        <w:jc w:val="both"/>
        <w:rPr>
          <w:rFonts w:ascii="AytoRoquetas Light Condensed" w:hAnsi="AytoRoquetas Light Condensed"/>
          <w:sz w:val="20"/>
          <w:szCs w:val="20"/>
        </w:rPr>
      </w:pPr>
      <w:r w:rsidRPr="000E6E6A">
        <w:rPr>
          <w:rFonts w:ascii="AytoRoquetas Light Condensed" w:hAnsi="AytoRoquetas Light Condensed"/>
          <w:sz w:val="20"/>
          <w:szCs w:val="20"/>
        </w:rPr>
        <w:t>g) Puesta de manifiesto del expediente. -Si el interesado precisare del expediente de gestión o de las actuaciones administrativas para formular sus alegaciones, deberá comparecer a tal objeto ante la oficina gestora a partir del día siguiente a la notificación del acto administrativo que se impugna y antes de que finalice el plazo de interposición del recurso.</w:t>
      </w:r>
    </w:p>
    <w:p w14:paraId="5ECC1CF8" w14:textId="77777777" w:rsidR="00A62DCB" w:rsidRPr="000E6E6A" w:rsidRDefault="00A62DCB" w:rsidP="00A62DCB">
      <w:pPr>
        <w:jc w:val="both"/>
        <w:rPr>
          <w:rFonts w:ascii="AytoRoquetas Light Condensed" w:hAnsi="AytoRoquetas Light Condensed"/>
          <w:sz w:val="20"/>
          <w:szCs w:val="20"/>
        </w:rPr>
      </w:pPr>
      <w:r w:rsidRPr="000E6E6A">
        <w:rPr>
          <w:rFonts w:ascii="AytoRoquetas Light Condensed" w:hAnsi="AytoRoquetas Light Condensed"/>
          <w:sz w:val="20"/>
          <w:szCs w:val="20"/>
        </w:rPr>
        <w:t>La oficina o dependencia de gestión, bajo la responsabilidad de su jefe, tendrá la obligación de poner de manifiesto al interesado el expediente o las actuaciones administrativas que se requieran.</w:t>
      </w:r>
    </w:p>
    <w:p w14:paraId="578039D2" w14:textId="77777777" w:rsidR="00A62DCB" w:rsidRPr="000E6E6A" w:rsidRDefault="00A62DCB" w:rsidP="00A62DCB">
      <w:pPr>
        <w:jc w:val="both"/>
        <w:rPr>
          <w:rFonts w:ascii="AytoRoquetas Light Condensed" w:hAnsi="AytoRoquetas Light Condensed"/>
          <w:sz w:val="20"/>
          <w:szCs w:val="20"/>
        </w:rPr>
      </w:pPr>
      <w:r w:rsidRPr="000E6E6A">
        <w:rPr>
          <w:rFonts w:ascii="AytoRoquetas Light Condensed" w:hAnsi="AytoRoquetas Light Condensed"/>
          <w:sz w:val="20"/>
          <w:szCs w:val="20"/>
        </w:rPr>
        <w:t>h) Presentación del recurso. -El escrito de interposición del recurso se presentará en la sede del órgano de la entidad local que dictó el acto administrativo que se impugna o en su defecto en las dependencias u oficinas a que se refiere el artículo 38.4 de la Ley 30/1992, de 26 de noviembre, de Régimen Jurídico de las Administraciones Públicas y del Procedimiento Administrativo Común.</w:t>
      </w:r>
    </w:p>
    <w:p w14:paraId="6D37246C" w14:textId="77777777" w:rsidR="00A62DCB" w:rsidRPr="000E6E6A" w:rsidRDefault="00A62DCB" w:rsidP="00A62DCB">
      <w:pPr>
        <w:jc w:val="both"/>
        <w:rPr>
          <w:rFonts w:ascii="AytoRoquetas Light Condensed" w:hAnsi="AytoRoquetas Light Condensed"/>
          <w:sz w:val="20"/>
          <w:szCs w:val="20"/>
        </w:rPr>
      </w:pPr>
      <w:r w:rsidRPr="000E6E6A">
        <w:rPr>
          <w:rFonts w:ascii="AytoRoquetas Light Condensed" w:hAnsi="AytoRoquetas Light Condensed"/>
          <w:sz w:val="20"/>
          <w:szCs w:val="20"/>
        </w:rPr>
        <w:t xml:space="preserve">i) Suspensión del acto impugnado. -La interposición del recurso de reposición no suspenderá la ejecución del acto impugnado, con las consecuencias legales consiguientes, incluso la recaudación de cuotas o </w:t>
      </w:r>
      <w:r w:rsidRPr="000E6E6A">
        <w:rPr>
          <w:rFonts w:ascii="AytoRoquetas Light Condensed" w:hAnsi="AytoRoquetas Light Condensed"/>
          <w:sz w:val="20"/>
          <w:szCs w:val="20"/>
        </w:rPr>
        <w:lastRenderedPageBreak/>
        <w:t>derechos liquidados, intereses y recargos. Los actos de imposición de sanciones tributarias quedarán automáticamente suspendidos conforme a lo previsto en la Ley General Tributaria.</w:t>
      </w:r>
    </w:p>
    <w:p w14:paraId="777D3C17" w14:textId="77777777" w:rsidR="00A62DCB" w:rsidRPr="000E6E6A" w:rsidRDefault="00A62DCB" w:rsidP="00A62DCB">
      <w:pPr>
        <w:jc w:val="both"/>
        <w:rPr>
          <w:rFonts w:ascii="AytoRoquetas Light Condensed" w:hAnsi="AytoRoquetas Light Condensed"/>
          <w:sz w:val="20"/>
          <w:szCs w:val="20"/>
        </w:rPr>
      </w:pPr>
      <w:r w:rsidRPr="000E6E6A">
        <w:rPr>
          <w:rFonts w:ascii="AytoRoquetas Light Condensed" w:hAnsi="AytoRoquetas Light Condensed"/>
          <w:sz w:val="20"/>
          <w:szCs w:val="20"/>
        </w:rPr>
        <w:t>No obstante, y en los mismos términos que en el Estado, podrá suspenderse la ejecución del acto impugnado mientras dure la sustanciación del recurso aplicando lo establecido en el Real Decreto 2244/1979, de 7 de septiembre, por el que se reglamenta el recurso de reposición previo al económico-administrativo, y en el Real Decreto 391/1996, de 1 de marzo, por el que se aprueba el Reglamento de procedimiento en las reclamaciones económico-administrativas, con las siguientes especialidades:</w:t>
      </w:r>
    </w:p>
    <w:p w14:paraId="1A773E1C" w14:textId="77777777" w:rsidR="00A62DCB" w:rsidRPr="000E6E6A" w:rsidRDefault="00A62DCB" w:rsidP="00A62DCB">
      <w:pPr>
        <w:jc w:val="both"/>
        <w:rPr>
          <w:rFonts w:ascii="AytoRoquetas Light Condensed" w:hAnsi="AytoRoquetas Light Condensed"/>
          <w:sz w:val="20"/>
          <w:szCs w:val="20"/>
        </w:rPr>
      </w:pPr>
      <w:r w:rsidRPr="000E6E6A">
        <w:rPr>
          <w:rFonts w:ascii="AytoRoquetas Light Condensed" w:hAnsi="AytoRoquetas Light Condensed"/>
          <w:sz w:val="20"/>
          <w:szCs w:val="20"/>
        </w:rPr>
        <w:t>1.º En todo caso será competente para tramitar y resolver la solicitud el órgano de la entidad local que dictó el acto.</w:t>
      </w:r>
    </w:p>
    <w:p w14:paraId="6B968678" w14:textId="77777777" w:rsidR="00A62DCB" w:rsidRPr="000E6E6A" w:rsidRDefault="00A62DCB" w:rsidP="00A62DCB">
      <w:pPr>
        <w:jc w:val="both"/>
        <w:rPr>
          <w:rFonts w:ascii="AytoRoquetas Light Condensed" w:hAnsi="AytoRoquetas Light Condensed"/>
          <w:sz w:val="20"/>
          <w:szCs w:val="20"/>
        </w:rPr>
      </w:pPr>
      <w:r w:rsidRPr="000E6E6A">
        <w:rPr>
          <w:rFonts w:ascii="AytoRoquetas Light Condensed" w:hAnsi="AytoRoquetas Light Condensed"/>
          <w:sz w:val="20"/>
          <w:szCs w:val="20"/>
        </w:rPr>
        <w:t>2.º Las resoluciones desestimatorias de la suspensión sólo serán susceptibles de impugnación en vía contencioso-administrativa.</w:t>
      </w:r>
    </w:p>
    <w:p w14:paraId="08B1A2AE" w14:textId="77777777" w:rsidR="00A62DCB" w:rsidRPr="000E6E6A" w:rsidRDefault="00A62DCB" w:rsidP="00A62DCB">
      <w:pPr>
        <w:jc w:val="both"/>
        <w:rPr>
          <w:rFonts w:ascii="AytoRoquetas Light Condensed" w:hAnsi="AytoRoquetas Light Condensed"/>
          <w:sz w:val="20"/>
          <w:szCs w:val="20"/>
        </w:rPr>
      </w:pPr>
      <w:r w:rsidRPr="000E6E6A">
        <w:rPr>
          <w:rFonts w:ascii="AytoRoquetas Light Condensed" w:hAnsi="AytoRoquetas Light Condensed"/>
          <w:sz w:val="20"/>
          <w:szCs w:val="20"/>
        </w:rPr>
        <w:t>3.º Cuando se interponga recurso contencioso-administrativo contra la resolución del recurso de reposición, la suspensión acordada en vía administrativa se mantendrá, siempre que exista garantía suficiente, hasta que el órgano judicial competente adopte la decisión que corresponda en relación con dicha suspensión.</w:t>
      </w:r>
    </w:p>
    <w:p w14:paraId="21BAB512" w14:textId="77777777" w:rsidR="00A62DCB" w:rsidRPr="000E6E6A" w:rsidRDefault="00A62DCB" w:rsidP="00A62DCB">
      <w:pPr>
        <w:jc w:val="both"/>
        <w:rPr>
          <w:rFonts w:ascii="AytoRoquetas Light Condensed" w:hAnsi="AytoRoquetas Light Condensed"/>
          <w:sz w:val="20"/>
          <w:szCs w:val="20"/>
        </w:rPr>
      </w:pPr>
      <w:r w:rsidRPr="000E6E6A">
        <w:rPr>
          <w:rFonts w:ascii="AytoRoquetas Light Condensed" w:hAnsi="AytoRoquetas Light Condensed"/>
          <w:sz w:val="20"/>
          <w:szCs w:val="20"/>
        </w:rPr>
        <w:t>j) Otros interesados. -Si del escrito inicial o de las actuaciones posteriores resultaren otros interesados distintos del recurrente, se les comunicará la interposición del recurso para que en el plazo de cinco días aleguen lo que a su derecho convenga.</w:t>
      </w:r>
    </w:p>
    <w:p w14:paraId="12C12E70" w14:textId="77777777" w:rsidR="00A62DCB" w:rsidRPr="000E6E6A" w:rsidRDefault="00A62DCB" w:rsidP="00A62DCB">
      <w:pPr>
        <w:jc w:val="both"/>
        <w:rPr>
          <w:rFonts w:ascii="AytoRoquetas Light Condensed" w:hAnsi="AytoRoquetas Light Condensed"/>
          <w:sz w:val="20"/>
          <w:szCs w:val="20"/>
        </w:rPr>
      </w:pPr>
      <w:r w:rsidRPr="000E6E6A">
        <w:rPr>
          <w:rFonts w:ascii="AytoRoquetas Light Condensed" w:hAnsi="AytoRoquetas Light Condensed"/>
          <w:sz w:val="20"/>
          <w:szCs w:val="20"/>
        </w:rPr>
        <w:t>k) Extensión de la revisión. -La revisión somete a conocimiento del órgano competente, para su resolución, todas las cuestiones que ofrezca el expediente, hayan sido o no planteadas en el recurso.</w:t>
      </w:r>
    </w:p>
    <w:p w14:paraId="181F2953" w14:textId="77777777" w:rsidR="00A62DCB" w:rsidRPr="000E6E6A" w:rsidRDefault="00A62DCB" w:rsidP="00A62DCB">
      <w:pPr>
        <w:jc w:val="both"/>
        <w:rPr>
          <w:rFonts w:ascii="AytoRoquetas Light Condensed" w:hAnsi="AytoRoquetas Light Condensed"/>
          <w:sz w:val="20"/>
          <w:szCs w:val="20"/>
        </w:rPr>
      </w:pPr>
      <w:r w:rsidRPr="000E6E6A">
        <w:rPr>
          <w:rFonts w:ascii="AytoRoquetas Light Condensed" w:hAnsi="AytoRoquetas Light Condensed"/>
          <w:sz w:val="20"/>
          <w:szCs w:val="20"/>
        </w:rPr>
        <w:t>Si el órgano estima pertinente examinar y resolver cuestiones no planteadas por los interesados, las expondrá a los que estuvieren personados en el procedimiento y les concederá un plazo de cinco días para formular alegaciones.</w:t>
      </w:r>
    </w:p>
    <w:p w14:paraId="7E811630" w14:textId="2C3C9BE6" w:rsidR="00A62DCB" w:rsidRPr="000E6E6A" w:rsidRDefault="00A62DCB" w:rsidP="00A62DCB">
      <w:pPr>
        <w:jc w:val="both"/>
        <w:rPr>
          <w:rFonts w:ascii="AytoRoquetas Light Condensed" w:hAnsi="AytoRoquetas Light Condensed"/>
          <w:sz w:val="20"/>
          <w:szCs w:val="20"/>
        </w:rPr>
      </w:pPr>
      <w:r w:rsidRPr="000E6E6A">
        <w:rPr>
          <w:rFonts w:ascii="AytoRoquetas Light Condensed" w:hAnsi="AytoRoquetas Light Condensed"/>
          <w:sz w:val="20"/>
          <w:szCs w:val="20"/>
        </w:rPr>
        <w:t xml:space="preserve">l) Resolución del </w:t>
      </w:r>
      <w:r w:rsidR="00F50418" w:rsidRPr="000E6E6A">
        <w:rPr>
          <w:rFonts w:ascii="AytoRoquetas Light Condensed" w:hAnsi="AytoRoquetas Light Condensed"/>
          <w:sz w:val="20"/>
          <w:szCs w:val="20"/>
        </w:rPr>
        <w:t>recurso. -</w:t>
      </w:r>
      <w:r w:rsidRPr="000E6E6A">
        <w:rPr>
          <w:rFonts w:ascii="AytoRoquetas Light Condensed" w:hAnsi="AytoRoquetas Light Condensed"/>
          <w:sz w:val="20"/>
          <w:szCs w:val="20"/>
        </w:rPr>
        <w:t>El recurso será resuelto en el plazo de un mes a contar desde el día siguiente al de su presentación, con excepción de los supuestos regulados en los párrafos j) y k) anteriores, en los que el plazo se computará desde el día siguiente al que se formulen las alegaciones o se dejen transcurrir los plazos señalados.</w:t>
      </w:r>
    </w:p>
    <w:p w14:paraId="393D22C1" w14:textId="77777777" w:rsidR="00A62DCB" w:rsidRPr="000E6E6A" w:rsidRDefault="00A62DCB" w:rsidP="00A62DCB">
      <w:pPr>
        <w:jc w:val="both"/>
        <w:rPr>
          <w:rFonts w:ascii="AytoRoquetas Light Condensed" w:hAnsi="AytoRoquetas Light Condensed"/>
          <w:sz w:val="20"/>
          <w:szCs w:val="20"/>
        </w:rPr>
      </w:pPr>
      <w:r w:rsidRPr="000E6E6A">
        <w:rPr>
          <w:rFonts w:ascii="AytoRoquetas Light Condensed" w:hAnsi="AytoRoquetas Light Condensed"/>
          <w:sz w:val="20"/>
          <w:szCs w:val="20"/>
        </w:rPr>
        <w:t>El recurso se entenderá desestimado cuando no haya recaído resolución en plazo.</w:t>
      </w:r>
    </w:p>
    <w:p w14:paraId="796B0E91" w14:textId="77777777" w:rsidR="00A62DCB" w:rsidRPr="000E6E6A" w:rsidRDefault="00A62DCB" w:rsidP="00A62DCB">
      <w:pPr>
        <w:jc w:val="both"/>
        <w:rPr>
          <w:rFonts w:ascii="AytoRoquetas Light Condensed" w:hAnsi="AytoRoquetas Light Condensed"/>
          <w:sz w:val="20"/>
          <w:szCs w:val="20"/>
        </w:rPr>
      </w:pPr>
      <w:r w:rsidRPr="000E6E6A">
        <w:rPr>
          <w:rFonts w:ascii="AytoRoquetas Light Condensed" w:hAnsi="AytoRoquetas Light Condensed"/>
          <w:sz w:val="20"/>
          <w:szCs w:val="20"/>
        </w:rPr>
        <w:t>La denegación presunta no exime de la obligación de resolver el recurso.</w:t>
      </w:r>
    </w:p>
    <w:p w14:paraId="1B1AC352" w14:textId="77777777" w:rsidR="00A62DCB" w:rsidRPr="000E6E6A" w:rsidRDefault="00A62DCB" w:rsidP="00A62DCB">
      <w:pPr>
        <w:jc w:val="both"/>
        <w:rPr>
          <w:rFonts w:ascii="AytoRoquetas Light Condensed" w:hAnsi="AytoRoquetas Light Condensed"/>
          <w:sz w:val="20"/>
          <w:szCs w:val="20"/>
        </w:rPr>
      </w:pPr>
      <w:r w:rsidRPr="000E6E6A">
        <w:rPr>
          <w:rFonts w:ascii="AytoRoquetas Light Condensed" w:hAnsi="AytoRoquetas Light Condensed"/>
          <w:sz w:val="20"/>
          <w:szCs w:val="20"/>
        </w:rPr>
        <w:t>m) Forma y contenido de la resolución. -La resolución expresa del recurso se producirá siempre de forma escrita.</w:t>
      </w:r>
    </w:p>
    <w:p w14:paraId="6CC3D0F7" w14:textId="77777777" w:rsidR="00A62DCB" w:rsidRPr="000E6E6A" w:rsidRDefault="00A62DCB" w:rsidP="00A62DCB">
      <w:pPr>
        <w:jc w:val="both"/>
        <w:rPr>
          <w:rFonts w:ascii="AytoRoquetas Light Condensed" w:hAnsi="AytoRoquetas Light Condensed"/>
          <w:sz w:val="20"/>
          <w:szCs w:val="20"/>
        </w:rPr>
      </w:pPr>
      <w:r w:rsidRPr="000E6E6A">
        <w:rPr>
          <w:rFonts w:ascii="AytoRoquetas Light Condensed" w:hAnsi="AytoRoquetas Light Condensed"/>
          <w:sz w:val="20"/>
          <w:szCs w:val="20"/>
        </w:rPr>
        <w:t>Dicha resolución, que será siempre motivada, contendrá una sucinta referencia a los hechos y a las alegaciones del recurrente, y expresará de forma clara las razones por las que se confirma o revoca total o parcialmente el acto impugnado.</w:t>
      </w:r>
    </w:p>
    <w:p w14:paraId="2F348C11" w14:textId="77777777" w:rsidR="00A62DCB" w:rsidRPr="000E6E6A" w:rsidRDefault="00A62DCB" w:rsidP="00A62DCB">
      <w:pPr>
        <w:jc w:val="both"/>
        <w:rPr>
          <w:rFonts w:ascii="AytoRoquetas Light Condensed" w:hAnsi="AytoRoquetas Light Condensed"/>
          <w:sz w:val="20"/>
          <w:szCs w:val="20"/>
        </w:rPr>
      </w:pPr>
      <w:r w:rsidRPr="000E6E6A">
        <w:rPr>
          <w:rFonts w:ascii="AytoRoquetas Light Condensed" w:hAnsi="AytoRoquetas Light Condensed"/>
          <w:sz w:val="20"/>
          <w:szCs w:val="20"/>
        </w:rPr>
        <w:t>n) Notificación y comunicación de la resolución. -La resolución expresa deberá ser notificada al recurrente y a los demás interesados, si los hubiera, en el plazo máximo de 10 días desde que aquélla se produzca.</w:t>
      </w:r>
    </w:p>
    <w:p w14:paraId="0DEE373A" w14:textId="77777777" w:rsidR="00A62DCB" w:rsidRPr="000E6E6A" w:rsidRDefault="00A62DCB" w:rsidP="00A62DCB">
      <w:pPr>
        <w:jc w:val="both"/>
        <w:rPr>
          <w:rFonts w:ascii="AytoRoquetas Light Condensed" w:hAnsi="AytoRoquetas Light Condensed"/>
          <w:sz w:val="20"/>
          <w:szCs w:val="20"/>
        </w:rPr>
      </w:pPr>
      <w:r w:rsidRPr="000E6E6A">
        <w:rPr>
          <w:rFonts w:ascii="AytoRoquetas Light Condensed" w:hAnsi="AytoRoquetas Light Condensed"/>
          <w:sz w:val="20"/>
          <w:szCs w:val="20"/>
        </w:rPr>
        <w:t>ñ) Impugnación de la resolución. -Contra la resolución del recurso de reposición no puede interponerse de nuevo este recurso, pudiendo los interesados interponer directamente recurso contencioso-administrativo, todo ello sin perjuicio de los supuestos en los que la ley prevé la interposición de reclamaciones económico-administrativas contra actos dictados en vía de gestión de los tributos locales.”</w:t>
      </w:r>
    </w:p>
    <w:p w14:paraId="06C977C0" w14:textId="4DDD1B6C" w:rsidR="00A62DCB" w:rsidRPr="000E6E6A" w:rsidRDefault="00A62DCB" w:rsidP="00A62DCB">
      <w:pPr>
        <w:jc w:val="both"/>
        <w:rPr>
          <w:rFonts w:ascii="AytoRoquetas Light Condensed" w:hAnsi="AytoRoquetas Light Condensed"/>
          <w:sz w:val="20"/>
          <w:szCs w:val="20"/>
        </w:rPr>
      </w:pPr>
      <w:r w:rsidRPr="000E6E6A">
        <w:rPr>
          <w:rFonts w:ascii="AytoRoquetas Light Condensed" w:hAnsi="AytoRoquetas Light Condensed"/>
          <w:sz w:val="20"/>
          <w:szCs w:val="20"/>
        </w:rPr>
        <w:t xml:space="preserve">Resultando que el acto impugnado resulta ser la liquidación de un ingreso de derecho público, que resultó debidamente notificado en fecha </w:t>
      </w:r>
      <w:r>
        <w:rPr>
          <w:rFonts w:ascii="AytoRoquetas Light Condensed" w:hAnsi="AytoRoquetas Light Condensed"/>
          <w:sz w:val="20"/>
          <w:szCs w:val="20"/>
        </w:rPr>
        <w:t>15 de noviembre</w:t>
      </w:r>
      <w:r w:rsidRPr="000E6E6A">
        <w:rPr>
          <w:rFonts w:ascii="AytoRoquetas Light Condensed" w:hAnsi="AytoRoquetas Light Condensed"/>
          <w:sz w:val="20"/>
          <w:szCs w:val="20"/>
        </w:rPr>
        <w:t xml:space="preserve"> de 2023 y ha sido recurrido en reposición mediante escrito impuesto en el Registro General de Entrada del CIAP en fecha </w:t>
      </w:r>
      <w:r>
        <w:rPr>
          <w:rFonts w:ascii="AytoRoquetas Light Condensed" w:hAnsi="AytoRoquetas Light Condensed"/>
          <w:sz w:val="20"/>
          <w:szCs w:val="20"/>
        </w:rPr>
        <w:t>15 de diciembre</w:t>
      </w:r>
      <w:r w:rsidRPr="000E6E6A">
        <w:rPr>
          <w:rFonts w:ascii="AytoRoquetas Light Condensed" w:hAnsi="AytoRoquetas Light Condensed"/>
          <w:sz w:val="20"/>
          <w:szCs w:val="20"/>
        </w:rPr>
        <w:t xml:space="preserve"> de 2023 por el legal </w:t>
      </w:r>
      <w:r w:rsidRPr="000E6E6A">
        <w:rPr>
          <w:rFonts w:ascii="AytoRoquetas Light Condensed" w:hAnsi="AytoRoquetas Light Condensed"/>
          <w:sz w:val="20"/>
          <w:szCs w:val="20"/>
        </w:rPr>
        <w:lastRenderedPageBreak/>
        <w:t xml:space="preserve">representante de la mercantil obligada al pago se ha de entender que el recurso </w:t>
      </w:r>
      <w:r w:rsidRPr="00A62DCB">
        <w:rPr>
          <w:rFonts w:ascii="AytoRoquetas Light Condensed" w:hAnsi="AytoRoquetas Light Condensed"/>
          <w:b/>
          <w:bCs/>
          <w:sz w:val="20"/>
          <w:szCs w:val="20"/>
        </w:rPr>
        <w:t>se ha interpuesto en tiempo y forma y procede su admisión a trámite.</w:t>
      </w:r>
      <w:r w:rsidRPr="000E6E6A">
        <w:rPr>
          <w:rFonts w:ascii="AytoRoquetas Light Condensed" w:hAnsi="AytoRoquetas Light Condensed"/>
          <w:sz w:val="20"/>
          <w:szCs w:val="20"/>
        </w:rPr>
        <w:t xml:space="preserve"> </w:t>
      </w:r>
    </w:p>
    <w:p w14:paraId="34BB3A58" w14:textId="6F9E6F8F" w:rsidR="00A62DCB" w:rsidRDefault="00A62DCB" w:rsidP="00A62DCB">
      <w:pPr>
        <w:jc w:val="both"/>
        <w:rPr>
          <w:rFonts w:ascii="AytoRoquetas Light Condensed" w:hAnsi="AytoRoquetas Light Condensed"/>
          <w:sz w:val="20"/>
          <w:szCs w:val="20"/>
        </w:rPr>
      </w:pPr>
      <w:r w:rsidRPr="000E6E6A">
        <w:rPr>
          <w:rFonts w:ascii="AytoRoquetas Light Condensed" w:hAnsi="AytoRoquetas Light Condensed"/>
          <w:b/>
          <w:bCs/>
          <w:sz w:val="20"/>
          <w:szCs w:val="20"/>
        </w:rPr>
        <w:t>Segundo</w:t>
      </w:r>
      <w:r w:rsidRPr="000E6E6A">
        <w:rPr>
          <w:rFonts w:ascii="AytoRoquetas Light Condensed" w:hAnsi="AytoRoquetas Light Condensed"/>
          <w:sz w:val="20"/>
          <w:szCs w:val="20"/>
        </w:rPr>
        <w:t>. - Entrando ya a analizar el fondo del asunto, se opone la mercantil recurrente a la liquidación practicada arguyendo</w:t>
      </w:r>
      <w:r>
        <w:rPr>
          <w:rFonts w:ascii="AytoRoquetas Light Condensed" w:hAnsi="AytoRoquetas Light Condensed"/>
          <w:sz w:val="20"/>
          <w:szCs w:val="20"/>
        </w:rPr>
        <w:t xml:space="preserve"> la improcedencia de la liquidación del recargo ejecutivo puesto que el recurso de reposición interpuesto en fecha 06 de febrero de 2023 frente a la Resolución de fecha 27 de febrero de 2022 solicitaba en realidad una compensación de créditos a su favor, y que dicha solicitud que fue desestimada en mediante Resolución de fecha 07 de marzo de 2023 impedía hasta su dictado el inicio del periodo ejecutivo. </w:t>
      </w:r>
    </w:p>
    <w:p w14:paraId="7AFC780E" w14:textId="3095837C" w:rsidR="00A62DCB" w:rsidRDefault="00A62DCB" w:rsidP="00A62DCB">
      <w:pPr>
        <w:jc w:val="both"/>
        <w:rPr>
          <w:rFonts w:ascii="AytoRoquetas Light Condensed" w:hAnsi="AytoRoquetas Light Condensed"/>
          <w:sz w:val="20"/>
          <w:szCs w:val="20"/>
        </w:rPr>
      </w:pPr>
      <w:r>
        <w:rPr>
          <w:rFonts w:ascii="AytoRoquetas Light Condensed" w:hAnsi="AytoRoquetas Light Condensed"/>
          <w:sz w:val="20"/>
          <w:szCs w:val="20"/>
        </w:rPr>
        <w:t xml:space="preserve">El escrito de interposición de recurso de reposición </w:t>
      </w:r>
      <w:r w:rsidR="001E4774">
        <w:rPr>
          <w:rFonts w:ascii="AytoRoquetas Light Condensed" w:hAnsi="AytoRoquetas Light Condensed"/>
          <w:sz w:val="20"/>
          <w:szCs w:val="20"/>
        </w:rPr>
        <w:t>califica como tal a dicho recurso, esto es, no se trataba en puridad de un escrito de solicitud de compensación de créditos, no obstante, es cierto que el argumento en el que fundamenta tal recurso es precisamente la compensación de créditos, sin perjuicio de que no dándose los requisitos previstos en los arts. 55 y 56 del Real Decreto 939/2005 de 29 de julio por el que se aprueba el Reglamento General de Recaudación  fue objeto de desestimación expresa mediante Resolución de fecha 07 de marzo de 2023.</w:t>
      </w:r>
    </w:p>
    <w:p w14:paraId="626D99A1" w14:textId="42EF6347" w:rsidR="001E4774" w:rsidRDefault="001E4774" w:rsidP="00A62DCB">
      <w:pPr>
        <w:jc w:val="both"/>
        <w:rPr>
          <w:rFonts w:ascii="AytoRoquetas Light Condensed" w:hAnsi="AytoRoquetas Light Condensed"/>
          <w:sz w:val="20"/>
          <w:szCs w:val="20"/>
        </w:rPr>
      </w:pPr>
      <w:r>
        <w:rPr>
          <w:rFonts w:ascii="AytoRoquetas Light Condensed" w:hAnsi="AytoRoquetas Light Condensed"/>
          <w:sz w:val="20"/>
          <w:szCs w:val="20"/>
        </w:rPr>
        <w:t>Entendiendo que conforme a lo dispuesto en el 161.2 de la Ley 58/2003 de 17 de diciembre General Tributaria “</w:t>
      </w:r>
      <w:r w:rsidRPr="001E4774">
        <w:rPr>
          <w:rFonts w:ascii="AytoRoquetas Light Condensed" w:hAnsi="AytoRoquetas Light Condensed"/>
          <w:sz w:val="20"/>
          <w:szCs w:val="20"/>
        </w:rPr>
        <w:t>La presentación de una solicitud de aplazamiento, fraccionamiento o compensación en período voluntario impedirá el inicio del período ejecutivo durante la tramitación de dichos expedientes</w:t>
      </w:r>
      <w:r>
        <w:rPr>
          <w:rFonts w:ascii="AytoRoquetas Light Condensed" w:hAnsi="AytoRoquetas Light Condensed"/>
          <w:sz w:val="20"/>
          <w:szCs w:val="20"/>
        </w:rPr>
        <w:t>”</w:t>
      </w:r>
    </w:p>
    <w:p w14:paraId="1520A88A" w14:textId="77777777" w:rsidR="00493003" w:rsidRPr="00493003" w:rsidRDefault="00493003" w:rsidP="00493003">
      <w:pPr>
        <w:jc w:val="both"/>
        <w:rPr>
          <w:rFonts w:ascii="AytoRoquetas Light Condensed" w:hAnsi="AytoRoquetas Light Condensed"/>
          <w:sz w:val="20"/>
          <w:szCs w:val="20"/>
        </w:rPr>
      </w:pPr>
      <w:r>
        <w:rPr>
          <w:rFonts w:ascii="AytoRoquetas Light Condensed" w:hAnsi="AytoRoquetas Light Condensed"/>
          <w:sz w:val="20"/>
          <w:szCs w:val="20"/>
        </w:rPr>
        <w:t>Por su parte el art. 56.5 del RGR dispone que “</w:t>
      </w:r>
      <w:r w:rsidRPr="00493003">
        <w:rPr>
          <w:rFonts w:ascii="AytoRoquetas Light Condensed" w:hAnsi="AytoRoquetas Light Condensed"/>
          <w:sz w:val="20"/>
          <w:szCs w:val="20"/>
        </w:rPr>
        <w:t>5. El órgano competente para resolver acordará la compensación cuando concurran los requisitos establecidos con carácter general en la normativa tributaria y civil o, en su caso, en la legislación aplicable con carácter específico.</w:t>
      </w:r>
    </w:p>
    <w:p w14:paraId="20EE8569" w14:textId="77777777" w:rsidR="00493003" w:rsidRPr="00493003" w:rsidRDefault="00493003" w:rsidP="00493003">
      <w:pPr>
        <w:jc w:val="both"/>
        <w:rPr>
          <w:rFonts w:ascii="AytoRoquetas Light Condensed" w:hAnsi="AytoRoquetas Light Condensed"/>
          <w:sz w:val="20"/>
          <w:szCs w:val="20"/>
        </w:rPr>
      </w:pPr>
      <w:r w:rsidRPr="00493003">
        <w:rPr>
          <w:rFonts w:ascii="AytoRoquetas Light Condensed" w:hAnsi="AytoRoquetas Light Condensed"/>
          <w:sz w:val="20"/>
          <w:szCs w:val="20"/>
        </w:rPr>
        <w:t>Si la resolución dictada fuese denegatoria, los efectos serán los siguientes:</w:t>
      </w:r>
    </w:p>
    <w:p w14:paraId="7980C75C" w14:textId="77777777" w:rsidR="00493003" w:rsidRPr="00493003" w:rsidRDefault="00493003" w:rsidP="00493003">
      <w:pPr>
        <w:jc w:val="both"/>
        <w:rPr>
          <w:rFonts w:ascii="AytoRoquetas Light Condensed" w:hAnsi="AytoRoquetas Light Condensed"/>
          <w:sz w:val="20"/>
          <w:szCs w:val="20"/>
        </w:rPr>
      </w:pPr>
      <w:r w:rsidRPr="00493003">
        <w:rPr>
          <w:rFonts w:ascii="AytoRoquetas Light Condensed" w:hAnsi="AytoRoquetas Light Condensed"/>
          <w:sz w:val="20"/>
          <w:szCs w:val="20"/>
        </w:rPr>
        <w:t>a) Si la solicitud fue presentada en periodo voluntario de ingreso, con la notificación del acuerdo denegatorio se iniciará el plazo de ingreso regulado en el artículo 62.2 de la Ley 58/2003, de 17 de diciembre, General Tributaria, sin perjuicio de lo dispuesto en el párrafo segundo del artículo 161.2 de esa ley.</w:t>
      </w:r>
    </w:p>
    <w:p w14:paraId="5C6D19CB" w14:textId="7FCB9DE2" w:rsidR="00493003" w:rsidRDefault="00493003" w:rsidP="00493003">
      <w:pPr>
        <w:jc w:val="both"/>
        <w:rPr>
          <w:rFonts w:ascii="AytoRoquetas Light Condensed" w:hAnsi="AytoRoquetas Light Condensed"/>
          <w:sz w:val="20"/>
          <w:szCs w:val="20"/>
        </w:rPr>
      </w:pPr>
      <w:r w:rsidRPr="00493003">
        <w:rPr>
          <w:rFonts w:ascii="AytoRoquetas Light Condensed" w:hAnsi="AytoRoquetas Light Condensed"/>
          <w:sz w:val="20"/>
          <w:szCs w:val="20"/>
        </w:rPr>
        <w:t>De no producirse el ingreso en dicho plazo, comenzará el periodo ejecutivo y deberá iniciarse el procedimiento de apremio en los términos previstos en el artículo 167.1 de la Ley 58/2003, de 17 de diciembre, General Tributaria.</w:t>
      </w:r>
      <w:r>
        <w:rPr>
          <w:rFonts w:ascii="AytoRoquetas Light Condensed" w:hAnsi="AytoRoquetas Light Condensed"/>
          <w:sz w:val="20"/>
          <w:szCs w:val="20"/>
        </w:rPr>
        <w:t>”</w:t>
      </w:r>
    </w:p>
    <w:p w14:paraId="3AC3C523" w14:textId="16816A0D" w:rsidR="00493003" w:rsidRDefault="00493003" w:rsidP="00493003">
      <w:pPr>
        <w:jc w:val="both"/>
        <w:rPr>
          <w:rFonts w:ascii="AytoRoquetas Light Condensed" w:hAnsi="AytoRoquetas Light Condensed"/>
          <w:sz w:val="20"/>
          <w:szCs w:val="20"/>
        </w:rPr>
      </w:pPr>
      <w:r>
        <w:rPr>
          <w:rFonts w:ascii="AytoRoquetas Light Condensed" w:hAnsi="AytoRoquetas Light Condensed"/>
          <w:sz w:val="20"/>
          <w:szCs w:val="20"/>
        </w:rPr>
        <w:t xml:space="preserve">En el caso que nos ocupa la Resolución dictada en fecha 07 de marzo de 2023 notificada a la mercantil hoy recurrente en dicha fecha habilitó </w:t>
      </w:r>
      <w:r w:rsidR="001F605B">
        <w:rPr>
          <w:rFonts w:ascii="AytoRoquetas Light Condensed" w:hAnsi="AytoRoquetas Light Condensed"/>
          <w:sz w:val="20"/>
          <w:szCs w:val="20"/>
        </w:rPr>
        <w:t xml:space="preserve">inició el periodo de pago de la deuda en periodo voluntario nuevamente, esto es, habilitó para el pago el plazo previsto en el art. 62.2 de la LGT. </w:t>
      </w:r>
    </w:p>
    <w:p w14:paraId="187F05F2" w14:textId="77777777" w:rsidR="001F605B" w:rsidRPr="001F605B" w:rsidRDefault="001F605B" w:rsidP="001F605B">
      <w:pPr>
        <w:jc w:val="both"/>
        <w:rPr>
          <w:rFonts w:ascii="AytoRoquetas Light Condensed" w:hAnsi="AytoRoquetas Light Condensed"/>
          <w:sz w:val="20"/>
          <w:szCs w:val="20"/>
        </w:rPr>
      </w:pPr>
      <w:r>
        <w:rPr>
          <w:rFonts w:ascii="AytoRoquetas Light Condensed" w:hAnsi="AytoRoquetas Light Condensed"/>
          <w:sz w:val="20"/>
          <w:szCs w:val="20"/>
        </w:rPr>
        <w:t>Establece el art. 62.2 de la LGT que “</w:t>
      </w:r>
      <w:r w:rsidRPr="001F605B">
        <w:rPr>
          <w:rFonts w:ascii="AytoRoquetas Light Condensed" w:hAnsi="AytoRoquetas Light Condensed"/>
          <w:sz w:val="20"/>
          <w:szCs w:val="20"/>
        </w:rPr>
        <w:t>2. En el caso de deudas tributarias resultantes de liquidaciones practicadas por la Administración, el pago en período voluntario deberá hacerse en los siguientes plazos:</w:t>
      </w:r>
    </w:p>
    <w:p w14:paraId="5C13D6D9" w14:textId="77777777" w:rsidR="001F605B" w:rsidRPr="001F605B" w:rsidRDefault="001F605B" w:rsidP="001F605B">
      <w:pPr>
        <w:jc w:val="both"/>
        <w:rPr>
          <w:rFonts w:ascii="AytoRoquetas Light Condensed" w:hAnsi="AytoRoquetas Light Condensed"/>
          <w:b/>
          <w:bCs/>
          <w:sz w:val="20"/>
          <w:szCs w:val="20"/>
        </w:rPr>
      </w:pPr>
      <w:r w:rsidRPr="001F605B">
        <w:rPr>
          <w:rFonts w:ascii="AytoRoquetas Light Condensed" w:hAnsi="AytoRoquetas Light Condensed"/>
          <w:b/>
          <w:bCs/>
          <w:sz w:val="20"/>
          <w:szCs w:val="20"/>
        </w:rPr>
        <w:t>a) Si la notificación de la liquidación se realiza entre los días uno y 15 de cada mes, desde la fecha de recepción de la notificación hasta el día 20 del mes posterior o, si éste no fuera hábil, hasta el inmediato hábil siguiente.</w:t>
      </w:r>
    </w:p>
    <w:p w14:paraId="00263D0B" w14:textId="3C9D9FB2" w:rsidR="001F605B" w:rsidRDefault="001F605B" w:rsidP="001F605B">
      <w:pPr>
        <w:jc w:val="both"/>
        <w:rPr>
          <w:rFonts w:ascii="AytoRoquetas Light Condensed" w:hAnsi="AytoRoquetas Light Condensed"/>
          <w:sz w:val="20"/>
          <w:szCs w:val="20"/>
        </w:rPr>
      </w:pPr>
      <w:r w:rsidRPr="001F605B">
        <w:rPr>
          <w:rFonts w:ascii="AytoRoquetas Light Condensed" w:hAnsi="AytoRoquetas Light Condensed"/>
          <w:sz w:val="20"/>
          <w:szCs w:val="20"/>
        </w:rPr>
        <w:t>b) Si la notificación de la liquidación se realiza entre los días 16 y último de cada mes, desde la fecha de recepción de la notificación hasta el día cinco del segundo mes posterior o, si éste no fuera hábil, hasta el inmediato hábil siguiente.</w:t>
      </w:r>
      <w:r>
        <w:rPr>
          <w:rFonts w:ascii="AytoRoquetas Light Condensed" w:hAnsi="AytoRoquetas Light Condensed"/>
          <w:sz w:val="20"/>
          <w:szCs w:val="20"/>
        </w:rPr>
        <w:t>”</w:t>
      </w:r>
    </w:p>
    <w:p w14:paraId="409EA3BF" w14:textId="07E3117F" w:rsidR="001F605B" w:rsidRDefault="001F605B" w:rsidP="001F605B">
      <w:pPr>
        <w:pStyle w:val="parrafo"/>
        <w:spacing w:before="180" w:beforeAutospacing="0" w:after="180" w:afterAutospacing="0"/>
        <w:ind w:firstLine="360"/>
        <w:jc w:val="both"/>
        <w:rPr>
          <w:rFonts w:ascii="AytoRoquetas Light Condensed" w:hAnsi="AytoRoquetas Light Condensed"/>
          <w:sz w:val="20"/>
          <w:szCs w:val="20"/>
        </w:rPr>
      </w:pPr>
      <w:r>
        <w:rPr>
          <w:rFonts w:ascii="AytoRoquetas Light Condensed" w:hAnsi="AytoRoquetas Light Condensed"/>
          <w:sz w:val="20"/>
          <w:szCs w:val="20"/>
        </w:rPr>
        <w:t>De conformidad con el precepto anteriormente invocado el periodo voluntario para el pago de la deuda liquidada se extendía hasta el 20 de abril del 2023, iniciándose el 21 de abril de 2023 el periodo ejecutivo para el cobro de la mencionada deuda conforme a lo dispuesto en el art. 161.1 de la LGT que dispone “</w:t>
      </w:r>
      <w:r w:rsidRPr="001F605B">
        <w:rPr>
          <w:rFonts w:ascii="AytoRoquetas Light Condensed" w:hAnsi="AytoRoquetas Light Condensed"/>
          <w:sz w:val="20"/>
          <w:szCs w:val="20"/>
        </w:rPr>
        <w:t>1. El período ejecutivo se inicia:</w:t>
      </w:r>
      <w:r>
        <w:rPr>
          <w:rFonts w:ascii="AytoRoquetas Light Condensed" w:hAnsi="AytoRoquetas Light Condensed"/>
          <w:sz w:val="20"/>
          <w:szCs w:val="20"/>
        </w:rPr>
        <w:t xml:space="preserve"> </w:t>
      </w:r>
      <w:r w:rsidRPr="001F605B">
        <w:rPr>
          <w:rFonts w:ascii="AytoRoquetas Light Condensed" w:hAnsi="AytoRoquetas Light Condensed"/>
          <w:sz w:val="20"/>
          <w:szCs w:val="20"/>
        </w:rPr>
        <w:t xml:space="preserve">a) En el caso de deudas liquidadas por la Administración tributaria, </w:t>
      </w:r>
      <w:r w:rsidRPr="001F605B">
        <w:rPr>
          <w:rFonts w:ascii="AytoRoquetas Light Condensed" w:hAnsi="AytoRoquetas Light Condensed"/>
          <w:b/>
          <w:bCs/>
          <w:sz w:val="20"/>
          <w:szCs w:val="20"/>
        </w:rPr>
        <w:t>el día siguiente al del vencimiento del plazo establecido para su ingreso en el artículo 62 de esta ley</w:t>
      </w:r>
      <w:r>
        <w:rPr>
          <w:rFonts w:ascii="AytoRoquetas Light Condensed" w:hAnsi="AytoRoquetas Light Condensed"/>
          <w:sz w:val="20"/>
          <w:szCs w:val="20"/>
        </w:rPr>
        <w:t>…</w:t>
      </w:r>
      <w:r w:rsidRPr="001F605B">
        <w:rPr>
          <w:rFonts w:ascii="AytoRoquetas Light Condensed" w:hAnsi="AytoRoquetas Light Condensed"/>
          <w:sz w:val="20"/>
          <w:szCs w:val="20"/>
        </w:rPr>
        <w:t>”</w:t>
      </w:r>
    </w:p>
    <w:p w14:paraId="2FAFDBCB" w14:textId="1411900A" w:rsidR="001F605B" w:rsidRDefault="001F605B" w:rsidP="001F605B">
      <w:pPr>
        <w:pStyle w:val="parrafo"/>
        <w:spacing w:before="180" w:beforeAutospacing="0" w:after="180" w:afterAutospacing="0"/>
        <w:ind w:firstLine="360"/>
        <w:jc w:val="both"/>
        <w:rPr>
          <w:rFonts w:ascii="AytoRoquetas Light Condensed" w:hAnsi="AytoRoquetas Light Condensed"/>
          <w:sz w:val="20"/>
          <w:szCs w:val="20"/>
        </w:rPr>
      </w:pPr>
      <w:r>
        <w:rPr>
          <w:rFonts w:ascii="AytoRoquetas Light Condensed" w:hAnsi="AytoRoquetas Light Condensed"/>
          <w:sz w:val="20"/>
          <w:szCs w:val="20"/>
        </w:rPr>
        <w:lastRenderedPageBreak/>
        <w:t>Como quiera que la mercantil recurrente ingresó la deuda liquidada en fecha 28 de abril de 2023, se había iniciado el periodo ejecutivo en el momento del ingreso sin que se hubiere dictado aun providencia de apremio por lo que procedía la liquidación del recargo ejecutivo del 5% previsto en el art. 28.2 de la meritada LGT que dispone que “</w:t>
      </w:r>
      <w:r w:rsidRPr="001F605B">
        <w:rPr>
          <w:rFonts w:ascii="AytoRoquetas Light Condensed" w:hAnsi="AytoRoquetas Light Condensed"/>
          <w:sz w:val="20"/>
          <w:szCs w:val="20"/>
        </w:rPr>
        <w:t>El recargo ejecutivo será del cinco por ciento y se aplicará cuando se satisfaga la totalidad de la deuda no ingresada en periodo voluntario antes de la notificación de la providencia de apremio</w:t>
      </w:r>
      <w:r>
        <w:rPr>
          <w:rFonts w:ascii="AytoRoquetas Light Condensed" w:hAnsi="AytoRoquetas Light Condensed"/>
          <w:sz w:val="20"/>
          <w:szCs w:val="20"/>
        </w:rPr>
        <w:t>”</w:t>
      </w:r>
    </w:p>
    <w:p w14:paraId="4CB18CF9" w14:textId="5B959B14" w:rsidR="00F50418" w:rsidRDefault="00F50418" w:rsidP="001F605B">
      <w:pPr>
        <w:pStyle w:val="parrafo"/>
        <w:spacing w:before="180" w:beforeAutospacing="0" w:after="180" w:afterAutospacing="0"/>
        <w:ind w:firstLine="360"/>
        <w:jc w:val="both"/>
        <w:rPr>
          <w:rFonts w:ascii="AytoRoquetas Light Condensed" w:hAnsi="AytoRoquetas Light Condensed"/>
          <w:sz w:val="20"/>
          <w:szCs w:val="20"/>
        </w:rPr>
      </w:pPr>
      <w:r>
        <w:rPr>
          <w:rFonts w:ascii="AytoRoquetas Light Condensed" w:hAnsi="AytoRoquetas Light Condensed"/>
          <w:sz w:val="20"/>
          <w:szCs w:val="20"/>
        </w:rPr>
        <w:t xml:space="preserve">Atendiendo a cuanto antecede procede que por parte del presidente del CIAP se dicte Resolución de conformidad con las siguiente </w:t>
      </w:r>
    </w:p>
    <w:p w14:paraId="1E5931A1" w14:textId="26F613FA" w:rsidR="00F50418" w:rsidRPr="00F50418" w:rsidRDefault="00F50418" w:rsidP="001F605B">
      <w:pPr>
        <w:pStyle w:val="parrafo"/>
        <w:spacing w:before="180" w:beforeAutospacing="0" w:after="180" w:afterAutospacing="0"/>
        <w:ind w:firstLine="360"/>
        <w:jc w:val="both"/>
        <w:rPr>
          <w:rFonts w:ascii="AytoRoquetas Light Condensed" w:hAnsi="AytoRoquetas Light Condensed"/>
          <w:b/>
          <w:bCs/>
          <w:sz w:val="20"/>
          <w:szCs w:val="20"/>
        </w:rPr>
      </w:pPr>
      <w:r w:rsidRPr="00F50418">
        <w:rPr>
          <w:rFonts w:ascii="AytoRoquetas Light Condensed" w:hAnsi="AytoRoquetas Light Condensed"/>
          <w:b/>
          <w:bCs/>
          <w:sz w:val="20"/>
          <w:szCs w:val="20"/>
        </w:rPr>
        <w:t>PROPUESTA DE RESOLUCIÓN</w:t>
      </w:r>
    </w:p>
    <w:p w14:paraId="6417D5C2" w14:textId="371E2E33" w:rsidR="00F50418" w:rsidRDefault="001F605B" w:rsidP="00F50418">
      <w:pPr>
        <w:pStyle w:val="parrafo"/>
        <w:spacing w:before="180" w:beforeAutospacing="0" w:after="180" w:afterAutospacing="0"/>
        <w:ind w:firstLine="360"/>
        <w:jc w:val="both"/>
        <w:rPr>
          <w:rFonts w:ascii="AytoRoquetas Light Condensed" w:hAnsi="AytoRoquetas Light Condensed"/>
          <w:sz w:val="20"/>
          <w:szCs w:val="20"/>
        </w:rPr>
      </w:pPr>
      <w:r>
        <w:rPr>
          <w:rFonts w:ascii="AytoRoquetas Light Condensed" w:hAnsi="AytoRoquetas Light Condensed"/>
          <w:sz w:val="20"/>
          <w:szCs w:val="20"/>
        </w:rPr>
        <w:t xml:space="preserve">Es por ello que </w:t>
      </w:r>
      <w:r w:rsidRPr="00F50418">
        <w:rPr>
          <w:rFonts w:ascii="AytoRoquetas Light Condensed" w:hAnsi="AytoRoquetas Light Condensed"/>
          <w:b/>
          <w:bCs/>
          <w:sz w:val="20"/>
          <w:szCs w:val="20"/>
        </w:rPr>
        <w:t xml:space="preserve">procede desestimar íntegramente el recurso de reposición </w:t>
      </w:r>
      <w:r w:rsidR="00F50418" w:rsidRPr="00F50418">
        <w:rPr>
          <w:rFonts w:ascii="AytoRoquetas Light Condensed" w:hAnsi="AytoRoquetas Light Condensed"/>
          <w:b/>
          <w:bCs/>
          <w:sz w:val="20"/>
          <w:szCs w:val="20"/>
        </w:rPr>
        <w:t>interpuesto por</w:t>
      </w:r>
      <w:r w:rsidRPr="00F50418">
        <w:rPr>
          <w:rFonts w:ascii="AytoRoquetas Light Condensed" w:hAnsi="AytoRoquetas Light Condensed"/>
          <w:b/>
          <w:bCs/>
          <w:sz w:val="20"/>
          <w:szCs w:val="20"/>
        </w:rPr>
        <w:t xml:space="preserve"> la mercantil HIDRALIA GESTION INTEGRAL AGUAS AND. SA contra la Resolución de fecha 15 de noviembre de 2023 en virtud del cual se procede a la liquidación del recargo ejecutivo de la deuda </w:t>
      </w:r>
      <w:r w:rsidR="00F50418" w:rsidRPr="00F50418">
        <w:rPr>
          <w:rFonts w:ascii="AytoRoquetas Light Condensed" w:hAnsi="AytoRoquetas Light Condensed"/>
          <w:b/>
          <w:bCs/>
          <w:sz w:val="20"/>
          <w:szCs w:val="20"/>
        </w:rPr>
        <w:t>liquidada en fecha 27 de diciembre de 2022 por importe de NUEVE MIL NOVECIENTOS CATORCE EUROS Y OCHENTA Y NUEVE CENTIMOS DE EURO (9.914,89€)</w:t>
      </w:r>
      <w:r w:rsidR="00F50418">
        <w:rPr>
          <w:rFonts w:ascii="AytoRoquetas Light Condensed" w:hAnsi="AytoRoquetas Light Condensed"/>
          <w:sz w:val="20"/>
          <w:szCs w:val="20"/>
        </w:rPr>
        <w:t xml:space="preserve"> correspondiente al 5% de la cantidad ingresada en fecha 28 de abril de 2023 en concepto de principal que ascendió a la cantidad de 198.297,94€ por haber sido efectivamente ingresada en periodo ejecutivo sin que a tal fecha se hubiere dictado aun providencia de apremio, confirmando la resolución impugnada por resultar ajustada a derecho.</w:t>
      </w:r>
    </w:p>
    <w:p w14:paraId="7429B1F5" w14:textId="77777777" w:rsidR="00F50418" w:rsidRPr="000E6E6A" w:rsidRDefault="00F50418" w:rsidP="00F50418">
      <w:pPr>
        <w:jc w:val="both"/>
        <w:rPr>
          <w:rFonts w:ascii="AytoRoquetas Light Condensed" w:hAnsi="AytoRoquetas Light Condensed"/>
          <w:sz w:val="20"/>
          <w:szCs w:val="20"/>
        </w:rPr>
      </w:pPr>
      <w:r w:rsidRPr="000E6E6A">
        <w:rPr>
          <w:rFonts w:ascii="AytoRoquetas Light Condensed" w:hAnsi="AytoRoquetas Light Condensed"/>
          <w:sz w:val="20"/>
          <w:szCs w:val="20"/>
        </w:rPr>
        <w:t>Es cuanto tengo el honor de informar, sin perjuicio de lo que Vs. Con superior criterio más acertadamente resuelva.</w:t>
      </w:r>
    </w:p>
    <w:p w14:paraId="7E9CFCA3" w14:textId="77777777" w:rsidR="00F50418" w:rsidRPr="000E6E6A" w:rsidRDefault="00F50418" w:rsidP="00F50418">
      <w:pPr>
        <w:jc w:val="both"/>
        <w:rPr>
          <w:rFonts w:ascii="AytoRoquetas Light Condensed" w:hAnsi="AytoRoquetas Light Condensed"/>
          <w:sz w:val="20"/>
          <w:szCs w:val="20"/>
        </w:rPr>
      </w:pPr>
      <w:r w:rsidRPr="000E6E6A">
        <w:rPr>
          <w:rFonts w:ascii="AytoRoquetas Light Condensed" w:hAnsi="AytoRoquetas Light Condensed"/>
          <w:sz w:val="20"/>
          <w:szCs w:val="20"/>
        </w:rPr>
        <w:t>En Roquetas de Mar, a la fecha de firma que obra al pie del presente.</w:t>
      </w:r>
    </w:p>
    <w:p w14:paraId="6794E423" w14:textId="77777777" w:rsidR="00F50418" w:rsidRPr="000E6E6A" w:rsidRDefault="00F50418" w:rsidP="00F50418">
      <w:pPr>
        <w:jc w:val="center"/>
        <w:rPr>
          <w:rFonts w:ascii="AytoRoquetas Light Condensed" w:hAnsi="AytoRoquetas Light Condensed"/>
          <w:sz w:val="20"/>
          <w:szCs w:val="20"/>
        </w:rPr>
      </w:pPr>
      <w:r w:rsidRPr="000E6E6A">
        <w:rPr>
          <w:rFonts w:ascii="AytoRoquetas Light Condensed" w:hAnsi="AytoRoquetas Light Condensed"/>
          <w:sz w:val="20"/>
          <w:szCs w:val="20"/>
        </w:rPr>
        <w:t>LA TESORERA</w:t>
      </w:r>
    </w:p>
    <w:p w14:paraId="5600F458" w14:textId="517E9CD1" w:rsidR="00F50418" w:rsidRPr="000E6E6A" w:rsidRDefault="00F50418" w:rsidP="00F50418">
      <w:pPr>
        <w:jc w:val="center"/>
        <w:rPr>
          <w:rFonts w:ascii="AytoRoquetas Light Condensed" w:hAnsi="AytoRoquetas Light Condensed"/>
          <w:sz w:val="20"/>
          <w:szCs w:val="20"/>
        </w:rPr>
      </w:pPr>
      <w:r w:rsidRPr="000E6E6A">
        <w:rPr>
          <w:rFonts w:ascii="AytoRoquetas Light Condensed" w:hAnsi="AytoRoquetas Light Condensed"/>
          <w:sz w:val="20"/>
          <w:szCs w:val="20"/>
        </w:rPr>
        <w:t>Fdo. Dña. Mónica Artacho</w:t>
      </w:r>
      <w:r>
        <w:rPr>
          <w:rFonts w:ascii="AytoRoquetas Light Condensed" w:hAnsi="AytoRoquetas Light Condensed"/>
          <w:sz w:val="20"/>
          <w:szCs w:val="20"/>
        </w:rPr>
        <w:t xml:space="preserve"> Sánchez </w:t>
      </w:r>
    </w:p>
    <w:p w14:paraId="26C0307F" w14:textId="77777777" w:rsidR="00F50418" w:rsidRPr="001F605B" w:rsidRDefault="00F50418" w:rsidP="001F605B">
      <w:pPr>
        <w:pStyle w:val="parrafo"/>
        <w:spacing w:before="180" w:beforeAutospacing="0" w:after="180" w:afterAutospacing="0"/>
        <w:ind w:firstLine="360"/>
        <w:jc w:val="both"/>
        <w:rPr>
          <w:rFonts w:ascii="AytoRoquetas Light Condensed" w:hAnsi="AytoRoquetas Light Condensed"/>
          <w:sz w:val="20"/>
          <w:szCs w:val="20"/>
        </w:rPr>
      </w:pPr>
    </w:p>
    <w:p w14:paraId="6A7C8E73" w14:textId="20FCA1D7" w:rsidR="001F605B" w:rsidRPr="001F605B" w:rsidRDefault="001F605B" w:rsidP="001F605B">
      <w:pPr>
        <w:jc w:val="both"/>
        <w:rPr>
          <w:rFonts w:ascii="AytoRoquetas Light Condensed" w:hAnsi="AytoRoquetas Light Condensed"/>
          <w:sz w:val="20"/>
          <w:szCs w:val="20"/>
        </w:rPr>
      </w:pPr>
    </w:p>
    <w:p w14:paraId="68D7BEF9" w14:textId="56008C49" w:rsidR="001F605B" w:rsidRPr="00493003" w:rsidRDefault="001F605B" w:rsidP="00493003">
      <w:pPr>
        <w:jc w:val="both"/>
        <w:rPr>
          <w:rFonts w:ascii="AytoRoquetas Light Condensed" w:hAnsi="AytoRoquetas Light Condensed"/>
          <w:sz w:val="20"/>
          <w:szCs w:val="20"/>
        </w:rPr>
      </w:pPr>
    </w:p>
    <w:p w14:paraId="15A923A4" w14:textId="608366DF" w:rsidR="001E4774" w:rsidRPr="009F7E46" w:rsidRDefault="001E4774" w:rsidP="00A62DCB">
      <w:pPr>
        <w:jc w:val="both"/>
        <w:rPr>
          <w:rFonts w:ascii="AytoRoquetas Light Condensed" w:hAnsi="AytoRoquetas Light Condensed"/>
          <w:sz w:val="20"/>
          <w:szCs w:val="20"/>
        </w:rPr>
      </w:pPr>
    </w:p>
    <w:p w14:paraId="53225F72" w14:textId="4FA370A6" w:rsidR="009F7E46" w:rsidRPr="000E6E6A" w:rsidRDefault="009F7E46" w:rsidP="009F7E46">
      <w:pPr>
        <w:jc w:val="both"/>
        <w:rPr>
          <w:rFonts w:ascii="AytoRoquetas Light Condensed" w:hAnsi="AytoRoquetas Light Condensed"/>
          <w:sz w:val="20"/>
          <w:szCs w:val="20"/>
        </w:rPr>
      </w:pPr>
    </w:p>
    <w:p w14:paraId="224026F3" w14:textId="77777777" w:rsidR="00BF3BF8" w:rsidRDefault="00BF3BF8"/>
    <w:sectPr w:rsidR="00BF3BF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E46"/>
    <w:rsid w:val="00114CB7"/>
    <w:rsid w:val="001E4774"/>
    <w:rsid w:val="001F605B"/>
    <w:rsid w:val="00244D33"/>
    <w:rsid w:val="004301EF"/>
    <w:rsid w:val="00493003"/>
    <w:rsid w:val="005B6A23"/>
    <w:rsid w:val="00643513"/>
    <w:rsid w:val="009F7E46"/>
    <w:rsid w:val="00A62DCB"/>
    <w:rsid w:val="00BF3BF8"/>
    <w:rsid w:val="00C556BB"/>
    <w:rsid w:val="00F5041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5CBF9"/>
  <w15:chartTrackingRefBased/>
  <w15:docId w15:val="{25396371-FCCE-4DFA-A9FA-74BF343A6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E46"/>
    <w:rPr>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rafo">
    <w:name w:val="parrafo"/>
    <w:basedOn w:val="Normal"/>
    <w:rsid w:val="001F605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rrafo2">
    <w:name w:val="parrafo_2"/>
    <w:basedOn w:val="Normal"/>
    <w:rsid w:val="001F605B"/>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97645">
      <w:bodyDiv w:val="1"/>
      <w:marLeft w:val="0"/>
      <w:marRight w:val="0"/>
      <w:marTop w:val="0"/>
      <w:marBottom w:val="0"/>
      <w:divBdr>
        <w:top w:val="none" w:sz="0" w:space="0" w:color="auto"/>
        <w:left w:val="none" w:sz="0" w:space="0" w:color="auto"/>
        <w:bottom w:val="none" w:sz="0" w:space="0" w:color="auto"/>
        <w:right w:val="none" w:sz="0" w:space="0" w:color="auto"/>
      </w:divBdr>
    </w:div>
    <w:div w:id="618027587">
      <w:bodyDiv w:val="1"/>
      <w:marLeft w:val="0"/>
      <w:marRight w:val="0"/>
      <w:marTop w:val="0"/>
      <w:marBottom w:val="0"/>
      <w:divBdr>
        <w:top w:val="none" w:sz="0" w:space="0" w:color="auto"/>
        <w:left w:val="none" w:sz="0" w:space="0" w:color="auto"/>
        <w:bottom w:val="none" w:sz="0" w:space="0" w:color="auto"/>
        <w:right w:val="none" w:sz="0" w:space="0" w:color="auto"/>
      </w:divBdr>
    </w:div>
    <w:div w:id="623656254">
      <w:bodyDiv w:val="1"/>
      <w:marLeft w:val="0"/>
      <w:marRight w:val="0"/>
      <w:marTop w:val="0"/>
      <w:marBottom w:val="0"/>
      <w:divBdr>
        <w:top w:val="none" w:sz="0" w:space="0" w:color="auto"/>
        <w:left w:val="none" w:sz="0" w:space="0" w:color="auto"/>
        <w:bottom w:val="none" w:sz="0" w:space="0" w:color="auto"/>
        <w:right w:val="none" w:sz="0" w:space="0" w:color="auto"/>
      </w:divBdr>
    </w:div>
    <w:div w:id="1132207521">
      <w:bodyDiv w:val="1"/>
      <w:marLeft w:val="0"/>
      <w:marRight w:val="0"/>
      <w:marTop w:val="0"/>
      <w:marBottom w:val="0"/>
      <w:divBdr>
        <w:top w:val="none" w:sz="0" w:space="0" w:color="auto"/>
        <w:left w:val="none" w:sz="0" w:space="0" w:color="auto"/>
        <w:bottom w:val="none" w:sz="0" w:space="0" w:color="auto"/>
        <w:right w:val="none" w:sz="0" w:space="0" w:color="auto"/>
      </w:divBdr>
    </w:div>
    <w:div w:id="1166438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6</Pages>
  <Words>2897</Words>
  <Characters>15936</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González Espinosa</dc:creator>
  <cp:keywords/>
  <dc:description/>
  <cp:lastModifiedBy>Monica Artacho Sanchez</cp:lastModifiedBy>
  <cp:revision>3</cp:revision>
  <dcterms:created xsi:type="dcterms:W3CDTF">2024-03-12T09:15:00Z</dcterms:created>
  <dcterms:modified xsi:type="dcterms:W3CDTF">2024-03-18T13:35:00Z</dcterms:modified>
</cp:coreProperties>
</file>