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tbl>
      <w:tblPr>
        <w:tblW w:w="0" w:type="auto"/>
        <w:tblInd w:w="108" w:type="dxa"/>
        <w:tblLayout w:type="fixed"/>
      </w:tblPr>
      <w:tblGrid>
        <w:gridCol w:w="3261"/>
        <w:gridCol w:w="5166"/>
      </w:tblGrid>
      <w:tr>
        <w:tblPrEx>
          <w:tblW w:w="0" w:type="auto"/>
          <w:tblInd w:w="108" w:type="dxa"/>
          <w:tblLayout w:type="fixed"/>
        </w:tblPrEx>
        <w:trPr>
          <w:trHeight w:val="284"/>
        </w:trPr>
        <w:tc>
          <w:tcPr>
            <w:tcW w:w="3261" w:type="dxa"/>
            <w:vAlign w:val="top"/>
          </w:tcPr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sz w:val="20"/>
                <w:szCs w:val="20"/>
              </w:rPr>
              <w:t>CONSORCIO AGUAS DEL PONIENTE</w:t>
            </w: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  <w:color w:val="000000"/>
                <w:sz w:val="20"/>
                <w:szCs w:val="20"/>
              </w:rPr>
              <w:t>Expediente: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2024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/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58</w:t>
            </w:r>
          </w:p>
          <w:p>
            <w:pPr>
              <w:spacing w:after="0" w:line="288" w:lineRule="auto"/>
              <w:ind w:firstLine="567"/>
              <w:jc w:val="both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</w:p>
        </w:tc>
        <w:tc>
          <w:tcPr>
            <w:tcW w:w="5166" w:type="dxa"/>
            <w:vAlign w:val="center"/>
          </w:tcPr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ERSTAURANTE CASA DEL ESCALOPE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AV ENTREMARES 56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</w:t>
            </w:r>
          </w:p>
          <w:p>
            <w:pPr>
              <w:spacing w:after="0" w:line="288" w:lineRule="auto"/>
              <w:jc w:val="right"/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</w:pP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ROQUETAS DE MAR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 (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 xml:space="preserve">). </w:t>
            </w:r>
            <w:r>
              <w:rPr>
                <w:rFonts w:ascii="AytoRoquetas Light Condensed" w:hAnsi="AytoRoquetas Light Condensed" w:cs="AytoRoquetas Light Condensed"/>
                <w:color w:val="000000"/>
                <w:sz w:val="20"/>
                <w:szCs w:val="20"/>
              </w:rPr>
              <w:t>ALMERIA</w:t>
            </w:r>
          </w:p>
        </w:tc>
      </w:tr>
    </w:tbl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 xml:space="preserve">He de comunicarle que con fecha 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jueves, 27 de junio de 2024</w:t>
      </w: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, el Sr. Presidente del Consorcio del Ciclo integral del Agua del Poniente Almeriense, ha dictado Decreto con n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úmero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2024/52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del siguiente tenor literal: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ab/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Vistos los expedientes de solicitud de autorización de vertidos y una vez realizada la visita a sus instalaciones y emitidos informes favorables por la Sra. Técnico de Control de Vertidos de Hidralia, Gestión Integral de Aguas de Andalucía SA de 17 de junio de 2024 y de acuerdo con la Ordenanza de vertidos a la red de alcantarillado del Consorcio (BOP de Almería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VENGO A RESOLVER: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1º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Conceder la “Autorización de Vertido” en la red de saneamiento de Roquetas de Mar a: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RESTAURANTE CASA DEL ESCALOPE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AV ENTREMARES 56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04740 ROQUETAS DE MAR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 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- ALMERIA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CIF Y8784499P</w:t>
      </w:r>
    </w:p>
    <w:p>
      <w:pPr>
        <w:widowControl/>
        <w:autoSpaceDE/>
        <w:autoSpaceDN/>
        <w:adjustRightInd/>
        <w:spacing w:before="0" w:after="0" w:line="288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 xml:space="preserve">La concesión de autorización queda sometida a los siguientes 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  <w:u w:val="single"/>
        </w:rPr>
        <w:t>condicionantes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: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entrega a gestores autorizados de los residuos potencialmente vertibles a la red, tipo aceites usados y grasas, que será necesario acreditar anualmente a Hidralia.</w:t>
      </w:r>
    </w:p>
    <w:p>
      <w:pPr>
        <w:widowControl/>
        <w:autoSpaceDE/>
        <w:autoSpaceDN/>
        <w:adjustRightInd/>
        <w:spacing w:before="0" w:after="0" w:line="28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El término de cuota ambiental se aplicará según se detalla en el Anexo 8 de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Dicha autorización no exime al titular de la observancia de otras disciplinas, autorizaciones, permisos, etc. a que hubiere lugar de acuerdo a las 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La calificación del vertido es a fecha de expedición.</w:t>
      </w: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>
      <w:pPr>
        <w:widowControl/>
        <w:autoSpaceDE/>
        <w:autoSpaceDN/>
        <w:adjustRightInd/>
        <w:spacing w:before="0" w:after="0" w:line="288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AytoRoquetas Light Condensed" w:eastAsia="AytoRoquetas Light Condensed" w:hAnsi="AytoRoquetas Light Condensed" w:cs="AytoRoquetas Light Condensed"/>
          <w:b/>
          <w:bCs/>
          <w:sz w:val="24"/>
          <w:szCs w:val="24"/>
        </w:rPr>
        <w:t>2º</w:t>
      </w:r>
      <w:r>
        <w:rPr>
          <w:rFonts w:ascii="AytoRoquetas Light Condensed" w:eastAsia="AytoRoquetas Light Condensed" w:hAnsi="AytoRoquetas Light Condensed" w:cs="AytoRoquetas Light Condensed"/>
          <w:sz w:val="24"/>
          <w:szCs w:val="24"/>
        </w:rPr>
        <w:t>. Dar traslado del presente Decreto al interesado.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« 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 xml:space="preserve"> »</w:t>
      </w: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Frente a esta Resolución, firme en vía administrativa de conformidad con lo establecido en el artículo 52.2 de la Ley 7/1985, Reguladora de las Bases de Régimen Local, en relación con el artículo 114 de la Ley 39/2015, de 1 de octubre, del Procedimiento Administrativo Común de las Administraciones Públicas (BOE nº 236 de 2 de octubre de 2015), cabe interponer los siguientes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p>
      <w:pPr>
        <w:jc w:val="center"/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20"/>
          <w:szCs w:val="20"/>
        </w:rPr>
        <w:t>RECURSOS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/>
          <w:sz w:val="20"/>
          <w:szCs w:val="20"/>
        </w:rPr>
        <w:t>Potestativo de Reposici</w:t>
      </w:r>
      <w:r>
        <w:rPr>
          <w:rFonts w:ascii="AytoRoquetas Light Condensed" w:hAnsi="AytoRoquetas Light Condensed" w:cs="AytoRoquetas Light Condensed" w:hint="default"/>
          <w:sz w:val="20"/>
          <w:szCs w:val="20"/>
        </w:rPr>
        <w:t>ón: ante el mismo órgano que lo hubiere dictado en el plazo de un mes, desde el día siguiente a la notificación del mismo (artículo 123 y 124 de la Ley 39/2015).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Contencioso-administrativo: ante el Juzgado de lo Contencioso-Administrativo con sede en Almería, en el plazo de dos meses, desde el día siguiente a la notificación del presente acto, o de la Resolución del Recurso potestativo de reposición (Ley 29/1998, de 13 de julio, reguladora de la Jurisdicción Contencioso-administrativa).</w:t>
      </w:r>
    </w:p>
    <w:p>
      <w:pPr>
        <w:numPr>
          <w:ilvl w:val="0"/>
          <w:numId w:val="1"/>
        </w:numPr>
        <w:tabs>
          <w:tab w:val="left" w:pos="720"/>
        </w:tabs>
        <w:spacing w:after="0" w:line="80" w:lineRule="atLeast"/>
        <w:ind w:left="720" w:right="736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  <w:r>
        <w:rPr>
          <w:rFonts w:ascii="AytoRoquetas Light Condensed" w:hAnsi="AytoRoquetas Light Condensed" w:cs="AytoRoquetas Light Condensed" w:hint="default"/>
          <w:sz w:val="20"/>
          <w:szCs w:val="20"/>
        </w:rPr>
        <w:t>Cualquier otro que estime oportuno.</w:t>
      </w:r>
    </w:p>
    <w:p>
      <w:pPr>
        <w:spacing w:after="0" w:line="80" w:lineRule="atLeast"/>
        <w:jc w:val="both"/>
        <w:rPr>
          <w:rFonts w:ascii="AytoRoquetas Light Condensed" w:hAnsi="AytoRoquetas Light Condensed" w:cs="AytoRoquetas Light Condensed" w:hint="default"/>
          <w:sz w:val="20"/>
          <w:szCs w:val="20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  <w:r>
        <w:rPr>
          <w:rFonts w:ascii="AytoRoquetas Light Condensed" w:hAnsi="AytoRoquetas Light Condensed" w:cs="AytoRoquetas Light Condensed"/>
          <w:color w:val="000000"/>
          <w:sz w:val="20"/>
          <w:szCs w:val="20"/>
        </w:rPr>
        <w:t>El presente documento ha sido firmado electr</w:t>
      </w:r>
      <w:r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  <w:t>ónicamente de acuerdo con lo establecido en la Ley 40/2015, de 1 de octubre, de Régimen Jurídico del Sector Público, por el funcionario público en la fecha que se indica al margen del mismo, cuya autenticidad e integridad puede verificarse a través de código seguro que se inserta.</w:t>
      </w: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 w:hint="default"/>
          <w:color w:val="000000"/>
          <w:sz w:val="20"/>
          <w:szCs w:val="20"/>
        </w:rPr>
      </w:pPr>
    </w:p>
    <w:sectPr>
      <w:headerReference w:type="default" r:id="rId4"/>
      <w:footerReference w:type="default" r:id="rId5"/>
      <w:pgSz w:w="11906" w:h="16838"/>
      <w:pgMar w:top="3119" w:right="1531" w:bottom="1701" w:left="1814" w:header="720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  <w:r>
      <w:rPr>
        <w:rFonts w:ascii="Verdana" w:hAnsi="Verdana" w:cs="Verdana"/>
        <w:sz w:val="16"/>
        <w:szCs w:val="16"/>
      </w:rPr>
      <w:tab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Encabezado6"/>
      <w:tabs>
        <w:tab w:val="left" w:pos="3281"/>
        <w:tab w:val="right" w:pos="8391"/>
        <w:tab w:val="clear" w:pos="8504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width:2in;height:54pt;margin-top:0;margin-left:-34pt;mso-wrap-distance-left:0;mso-wrap-distance-right:0;position:absolute;z-index:251658240" filled="t" fillcolor="white" stroked="f">
          <v:textbox>
            <w:txbxContent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ón, 1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>
                <w:pPr>
                  <w:spacing w:after="0" w:line="240" w:lineRule="atLeast"/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 w:hint="default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>
    <w:pPr>
      <w:pStyle w:val="Encabezado22"/>
      <w:tabs>
        <w:tab w:val="right" w:pos="8391"/>
        <w:tab w:val="clear" w:pos="8504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width:150.75pt;height:61.5pt;margin-top:0;margin-left:311.3pt;mso-wrap-distance-left:0;mso-wrap-distance-right:0;position:absolute;z-index:251659264" stroked="f">
          <v:imagedata r:id="rId1" o:title=""/>
          <w10:wrap type="square"/>
        </v:shape>
      </w:pict>
    </w:r>
  </w:p>
  <w:p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  <w:p>
    <w:pPr>
      <w:pStyle w:val="Encabezado25"/>
      <w:tabs>
        <w:tab w:val="right" w:pos="8391"/>
        <w:tab w:val="clear" w:pos="8504"/>
      </w:tabs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1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2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3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4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5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6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7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  <w:lvl w:ilvl="8">
      <w:start w:val="1"/>
      <w:numFmt w:val="bullet"/>
      <w:lvlText w:val="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0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7">
    <w:name w:val="Encabezado2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  <w:spacing w:after="160" w:line="257" w:lineRule="auto"/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