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1.0 -->
  <w:body>
    <w:tbl>
      <w:tblPr>
        <w:tblW w:w="0" w:type="auto"/>
        <w:tblInd w:w="108" w:type="dxa"/>
        <w:tblLayout w:type="fixed"/>
      </w:tblPr>
      <w:tblGrid>
        <w:gridCol w:w="3261"/>
        <w:gridCol w:w="5166"/>
      </w:tblGrid>
      <w:tr>
        <w:tblPrEx>
          <w:tblW w:w="0" w:type="auto"/>
          <w:tblInd w:w="108" w:type="dxa"/>
          <w:tblLayout w:type="fixed"/>
        </w:tblPrEx>
        <w:trPr>
          <w:trHeight w:val="284"/>
        </w:trPr>
        <w:tc>
          <w:tcPr>
            <w:tcW w:w="3261" w:type="dxa"/>
            <w:vAlign w:val="top"/>
          </w:tcPr>
          <w:p>
            <w:pPr>
              <w:spacing w:after="0" w:line="288" w:lineRule="auto"/>
              <w:jc w:val="both"/>
              <w:rPr>
                <w:rFonts w:ascii="AytoRoquetas Light Condensed" w:hAnsi="AytoRoquetas Light Condensed" w:cs="AytoRoquetas Light Condensed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  <w:sz w:val="20"/>
                <w:szCs w:val="20"/>
              </w:rPr>
              <w:t>CONSORCIO AGUAS DEL PONIENTE</w:t>
            </w:r>
            <w:r>
              <w:rPr>
                <w:rFonts w:ascii="AytoRoquetas Light Condensed" w:hAnsi="AytoRoquetas Light Condensed" w:cs="AytoRoquetas Light Condensed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>
            <w:pPr>
              <w:spacing w:after="0" w:line="288" w:lineRule="auto"/>
              <w:jc w:val="both"/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  <w:color w:val="000000"/>
                <w:sz w:val="20"/>
                <w:szCs w:val="20"/>
              </w:rPr>
              <w:t>Expediente:</w:t>
            </w: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>2024</w:t>
            </w: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>/</w:t>
            </w: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>58</w:t>
            </w:r>
          </w:p>
          <w:p>
            <w:pPr>
              <w:spacing w:after="0" w:line="288" w:lineRule="auto"/>
              <w:ind w:firstLine="567"/>
              <w:jc w:val="both"/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</w:pPr>
          </w:p>
        </w:tc>
        <w:tc>
          <w:tcPr>
            <w:tcW w:w="5166" w:type="dxa"/>
            <w:vAlign w:val="center"/>
          </w:tcPr>
          <w:p>
            <w:pPr>
              <w:spacing w:after="0" w:line="288" w:lineRule="auto"/>
              <w:jc w:val="right"/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</w:pP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>PIZZERIA TERRA MIA</w:t>
            </w: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 xml:space="preserve"> </w:t>
            </w:r>
          </w:p>
          <w:p>
            <w:pPr>
              <w:spacing w:after="0" w:line="288" w:lineRule="auto"/>
              <w:jc w:val="right"/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</w:pP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>C/ENCINAR 9, LOCAL 1</w:t>
            </w: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 xml:space="preserve"> </w:t>
            </w:r>
          </w:p>
          <w:p>
            <w:pPr>
              <w:spacing w:after="0" w:line="288" w:lineRule="auto"/>
              <w:jc w:val="right"/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</w:pP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>ROQUETAS DE MAR</w:t>
            </w: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 xml:space="preserve">). </w:t>
            </w: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>ALMERIA</w:t>
            </w:r>
          </w:p>
        </w:tc>
      </w:tr>
    </w:tbl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</w:pP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 xml:space="preserve">He de comunicarle que con fecha </w:t>
      </w: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>jueves, 27 de junio de 2024</w:t>
      </w: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>, el Sr. Presidente del Consorcio del Ciclo integral del Agua del Poniente Almeriense, ha dictado Decreto con n</w:t>
      </w:r>
      <w:r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  <w:t xml:space="preserve">úmero </w:t>
      </w:r>
      <w:r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  <w:t>2024/53</w:t>
      </w:r>
      <w:r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  <w:t xml:space="preserve"> del siguiente tenor literal:</w:t>
      </w: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</w:pPr>
      <w:r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  <w:tab/>
      </w:r>
    </w:p>
    <w:p>
      <w:pPr>
        <w:widowControl/>
        <w:autoSpaceDE/>
        <w:autoSpaceDN/>
        <w:adjustRightInd/>
        <w:spacing w:before="0"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widowControl/>
        <w:autoSpaceDE/>
        <w:autoSpaceDN/>
        <w:adjustRightInd/>
        <w:spacing w:before="0"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t xml:space="preserve">Vistos los expedientes de solicitud de autorización de vertidos y una vez realizada la visita a sus instalaciones y emitidos informes favorables por la Sra. Técnico de Control de Vertidos de Hidralia, Gestión Integral de Aguas de Andalucía SA de 17 de junio de 2024 y de acuerdo con la Ordenanza de vertidos a la red de alcantarillado del Consorcio (BOP de Almería número 149 de 5 de agosto de 2021), y con el acuerdo de la Junta General del Consorcio de 21 de abril de 2021, de nombramiento de Presidente y la Ordenanza de vertidos a la red de alcantarillado del Consocio (B.O.P de Almería Núm. 149 de 5 de agosto de 2021), es por lo que </w:t>
      </w:r>
      <w:r>
        <w:rPr>
          <w:rFonts w:ascii="AytoRoquetas Light Condensed" w:eastAsia="AytoRoquetas Light Condensed" w:hAnsi="AytoRoquetas Light Condensed" w:cs="AytoRoquetas Light Condensed"/>
          <w:b/>
          <w:bCs/>
          <w:sz w:val="24"/>
          <w:szCs w:val="24"/>
        </w:rPr>
        <w:t>VENGO A RESOLVER:</w:t>
      </w:r>
    </w:p>
    <w:p>
      <w:pPr>
        <w:widowControl/>
        <w:autoSpaceDE/>
        <w:autoSpaceDN/>
        <w:adjustRightInd/>
        <w:spacing w:before="0"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widowControl/>
        <w:autoSpaceDE/>
        <w:autoSpaceDN/>
        <w:adjustRightInd/>
        <w:spacing w:before="0"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ytoRoquetas Light Condensed" w:eastAsia="AytoRoquetas Light Condensed" w:hAnsi="AytoRoquetas Light Condensed" w:cs="AytoRoquetas Light Condensed"/>
          <w:b/>
          <w:bCs/>
          <w:sz w:val="24"/>
          <w:szCs w:val="24"/>
        </w:rPr>
        <w:t>1º</w:t>
      </w:r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t>. Conceder la “Autorización de Vertido” en la red de saneamiento de Roquetas de Mar a:</w:t>
      </w:r>
    </w:p>
    <w:p>
      <w:pPr>
        <w:widowControl/>
        <w:numPr>
          <w:ilvl w:val="0"/>
          <w:numId w:val="2"/>
        </w:numPr>
        <w:pBdr>
          <w:left w:val="none" w:sz="0" w:space="7" w:color="auto"/>
        </w:pBdr>
        <w:autoSpaceDE/>
        <w:autoSpaceDN/>
        <w:adjustRightInd/>
        <w:spacing w:before="0" w:after="0" w:line="288" w:lineRule="auto"/>
        <w:ind w:left="1429" w:right="0" w:hanging="36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t>PIZZERÍA TERRA MÍA</w:t>
      </w:r>
    </w:p>
    <w:p>
      <w:pPr>
        <w:widowControl/>
        <w:numPr>
          <w:ilvl w:val="0"/>
          <w:numId w:val="2"/>
        </w:numPr>
        <w:pBdr>
          <w:left w:val="none" w:sz="0" w:space="7" w:color="auto"/>
        </w:pBdr>
        <w:autoSpaceDE/>
        <w:autoSpaceDN/>
        <w:adjustRightInd/>
        <w:spacing w:after="0" w:line="288" w:lineRule="auto"/>
        <w:ind w:left="1429" w:right="0" w:hanging="36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t>C/ENCINAR 9 LOCAL 1</w:t>
      </w:r>
    </w:p>
    <w:p>
      <w:pPr>
        <w:widowControl/>
        <w:numPr>
          <w:ilvl w:val="0"/>
          <w:numId w:val="2"/>
        </w:numPr>
        <w:pBdr>
          <w:left w:val="none" w:sz="0" w:space="7" w:color="auto"/>
        </w:pBdr>
        <w:autoSpaceDE/>
        <w:autoSpaceDN/>
        <w:adjustRightInd/>
        <w:spacing w:after="0" w:line="288" w:lineRule="auto"/>
        <w:ind w:left="1429" w:right="0" w:hanging="36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t>04720 ROQUETAS DE MAR -ALMERÍA</w:t>
      </w:r>
    </w:p>
    <w:p>
      <w:pPr>
        <w:widowControl/>
        <w:numPr>
          <w:ilvl w:val="0"/>
          <w:numId w:val="2"/>
        </w:numPr>
        <w:pBdr>
          <w:left w:val="none" w:sz="0" w:space="7" w:color="auto"/>
        </w:pBdr>
        <w:autoSpaceDE/>
        <w:autoSpaceDN/>
        <w:adjustRightInd/>
        <w:spacing w:after="0" w:line="288" w:lineRule="auto"/>
        <w:ind w:left="1429" w:right="0" w:hanging="36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t>CIF X9812695K</w:t>
      </w:r>
    </w:p>
    <w:p>
      <w:pPr>
        <w:widowControl/>
        <w:autoSpaceDE/>
        <w:autoSpaceDN/>
        <w:adjustRightInd/>
        <w:spacing w:before="0" w:after="0" w:line="288" w:lineRule="auto"/>
        <w:ind w:left="142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widowControl/>
        <w:autoSpaceDE/>
        <w:autoSpaceDN/>
        <w:adjustRightInd/>
        <w:spacing w:before="0"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t xml:space="preserve">La concesión de autorización queda sometida a los siguientes </w:t>
      </w:r>
      <w:r>
        <w:rPr>
          <w:rFonts w:ascii="AytoRoquetas Light Condensed" w:eastAsia="AytoRoquetas Light Condensed" w:hAnsi="AytoRoquetas Light Condensed" w:cs="AytoRoquetas Light Condensed"/>
          <w:sz w:val="24"/>
          <w:szCs w:val="24"/>
          <w:u w:val="single"/>
        </w:rPr>
        <w:t>condicionantes</w:t>
      </w:r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t>:</w:t>
      </w:r>
    </w:p>
    <w:p>
      <w:pPr>
        <w:widowControl/>
        <w:autoSpaceDE/>
        <w:autoSpaceDN/>
        <w:adjustRightInd/>
        <w:spacing w:before="0"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widowControl/>
        <w:numPr>
          <w:ilvl w:val="0"/>
          <w:numId w:val="3"/>
        </w:numPr>
        <w:pBdr>
          <w:left w:val="none" w:sz="0" w:space="7" w:color="auto"/>
        </w:pBdr>
        <w:autoSpaceDE/>
        <w:autoSpaceDN/>
        <w:adjustRightInd/>
        <w:spacing w:before="0" w:after="0" w:line="288" w:lineRule="auto"/>
        <w:ind w:left="720" w:right="0" w:hanging="36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AytoRoquetas Light Condensed" w:eastAsia="AytoRoquetas Light Condensed" w:hAnsi="AytoRoquetas Light Condensed" w:cs="AytoRoquetas Light Condensed"/>
          <w:color w:val="000000"/>
          <w:sz w:val="24"/>
          <w:szCs w:val="24"/>
        </w:rPr>
        <w:t>La entrega a gestores autorizados de los residuos potencialmente vertibles a la red, tipo aceites usados y grasas, que será necesario acreditar anualmente a Hidralia.</w:t>
      </w:r>
    </w:p>
    <w:p>
      <w:pPr>
        <w:widowControl/>
        <w:autoSpaceDE/>
        <w:autoSpaceDN/>
        <w:adjustRightInd/>
        <w:spacing w:before="0"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widowControl/>
        <w:autoSpaceDE/>
        <w:autoSpaceDN/>
        <w:adjustRightInd/>
        <w:spacing w:before="0"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t>El término de cuota ambiental se aplicará según se detalla en el Anexo 8 de la Ordenanza.</w:t>
      </w:r>
    </w:p>
    <w:p>
      <w:pPr>
        <w:widowControl/>
        <w:autoSpaceDE/>
        <w:autoSpaceDN/>
        <w:adjustRightInd/>
        <w:spacing w:before="0"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widowControl/>
        <w:autoSpaceDE/>
        <w:autoSpaceDN/>
        <w:adjustRightInd/>
        <w:spacing w:before="0"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t>Dicha autorización no exime al titular de la observancia de otras disciplinas, autorizaciones, permisos, etc. a que hubiere lugar de acuerdo a las normativas de aplicación, y de cuantas medidas sean de aplicación en materia de almacenamiento de residuos, sustancias, etc. que por su condición o peligrosidad deban ser tenidas en cuenta con el fin de prevenir su vertido accidental en las redes de saneamiento, y solo se emite a efectos de admisión del vertido en las redes de saneamiento municipales.</w:t>
      </w:r>
    </w:p>
    <w:p>
      <w:pPr>
        <w:widowControl/>
        <w:autoSpaceDE/>
        <w:autoSpaceDN/>
        <w:adjustRightInd/>
        <w:spacing w:before="0"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widowControl/>
        <w:autoSpaceDE/>
        <w:autoSpaceDN/>
        <w:adjustRightInd/>
        <w:spacing w:before="0"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t>Todo ello sin perjuicio que con posterioridad pudiera demostrarse la presencia de sustancia prohibidas del Anexo 1 o que superen los valores máximos tolerados de sustancias del Anexo 2, en cuyo caso se suspendería la autorización de vertido, con las consecuencias descritas en la Ordenanza.</w:t>
      </w:r>
    </w:p>
    <w:p>
      <w:pPr>
        <w:widowControl/>
        <w:autoSpaceDE/>
        <w:autoSpaceDN/>
        <w:adjustRightInd/>
        <w:spacing w:before="0"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widowControl/>
        <w:autoSpaceDE/>
        <w:autoSpaceDN/>
        <w:adjustRightInd/>
        <w:spacing w:before="0"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t>La calificación del vertido es a fecha de expedición.</w:t>
      </w:r>
    </w:p>
    <w:p>
      <w:pPr>
        <w:widowControl/>
        <w:autoSpaceDE/>
        <w:autoSpaceDN/>
        <w:adjustRightInd/>
        <w:spacing w:before="0"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widowControl/>
        <w:autoSpaceDE/>
        <w:autoSpaceDN/>
        <w:adjustRightInd/>
        <w:spacing w:before="0"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ytoRoquetas Light Condensed" w:eastAsia="AytoRoquetas Light Condensed" w:hAnsi="AytoRoquetas Light Condensed" w:cs="AytoRoquetas Light Condensed"/>
          <w:b/>
          <w:bCs/>
          <w:sz w:val="24"/>
          <w:szCs w:val="24"/>
        </w:rPr>
        <w:t>2º</w:t>
      </w:r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t>. Dar traslado del presente Decreto al interesado.</w:t>
      </w:r>
    </w:p>
    <w:p>
      <w:pPr>
        <w:spacing w:after="0" w:line="288" w:lineRule="auto"/>
        <w:jc w:val="both"/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</w:pPr>
      <w:r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  <w:t xml:space="preserve">« </w:t>
      </w:r>
      <w:r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  <w:t xml:space="preserve"> »</w:t>
      </w:r>
    </w:p>
    <w:p>
      <w:pPr>
        <w:spacing w:after="0" w:line="288" w:lineRule="auto"/>
        <w:jc w:val="both"/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</w:pP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</w:pPr>
      <w:r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  <w:t>Frente a esta Resolución, firme en vía administrativa de conformidad con lo establecido en el artículo 52.2 de la Ley 7/1985, Reguladora de las Bases de Régimen Local, en relación con el artículo 114 de la Ley 39/2015, de 1 de octubre, del Procedimiento Administrativo Común de las Administraciones Públicas (BOE nº 236 de 2 de octubre de 2015), cabe interponer los siguientes</w:t>
      </w: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</w:pPr>
    </w:p>
    <w:p>
      <w:pPr>
        <w:jc w:val="center"/>
        <w:rPr>
          <w:rFonts w:ascii="AytoRoquetas Light Condensed" w:hAnsi="AytoRoquetas Light Condensed" w:cs="AytoRoquetas Light Condensed"/>
          <w:b/>
          <w:bCs/>
          <w:color w:val="000000"/>
          <w:sz w:val="20"/>
          <w:szCs w:val="2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sz w:val="20"/>
          <w:szCs w:val="20"/>
        </w:rPr>
        <w:t>RECURSOS</w:t>
      </w:r>
    </w:p>
    <w:p>
      <w:pPr>
        <w:numPr>
          <w:ilvl w:val="0"/>
          <w:numId w:val="1"/>
        </w:numPr>
        <w:tabs>
          <w:tab w:val="left" w:pos="720"/>
        </w:tabs>
        <w:spacing w:after="0" w:line="80" w:lineRule="atLeast"/>
        <w:ind w:left="720" w:right="736"/>
        <w:jc w:val="both"/>
        <w:rPr>
          <w:rFonts w:ascii="AytoRoquetas Light Condensed" w:hAnsi="AytoRoquetas Light Condensed" w:cs="AytoRoquetas Light Condensed" w:hint="default"/>
          <w:sz w:val="20"/>
          <w:szCs w:val="20"/>
        </w:rPr>
      </w:pPr>
      <w:r>
        <w:rPr>
          <w:rFonts w:ascii="AytoRoquetas Light Condensed" w:hAnsi="AytoRoquetas Light Condensed" w:cs="AytoRoquetas Light Condensed"/>
          <w:sz w:val="20"/>
          <w:szCs w:val="20"/>
        </w:rPr>
        <w:t>Potestativo de Reposici</w:t>
      </w:r>
      <w:r>
        <w:rPr>
          <w:rFonts w:ascii="AytoRoquetas Light Condensed" w:hAnsi="AytoRoquetas Light Condensed" w:cs="AytoRoquetas Light Condensed" w:hint="default"/>
          <w:sz w:val="20"/>
          <w:szCs w:val="20"/>
        </w:rPr>
        <w:t>ón: ante el mismo órgano que lo hubiere dictado en el plazo de un mes, desde el día siguiente a la notificación del mismo (artículo 123 y 124 de la Ley 39/2015).</w:t>
      </w:r>
    </w:p>
    <w:p>
      <w:pPr>
        <w:numPr>
          <w:ilvl w:val="0"/>
          <w:numId w:val="1"/>
        </w:numPr>
        <w:tabs>
          <w:tab w:val="left" w:pos="720"/>
        </w:tabs>
        <w:spacing w:after="0" w:line="80" w:lineRule="atLeast"/>
        <w:ind w:left="720" w:right="736"/>
        <w:jc w:val="both"/>
        <w:rPr>
          <w:rFonts w:ascii="AytoRoquetas Light Condensed" w:hAnsi="AytoRoquetas Light Condensed" w:cs="AytoRoquetas Light Condensed" w:hint="default"/>
          <w:sz w:val="20"/>
          <w:szCs w:val="20"/>
        </w:rPr>
      </w:pPr>
      <w:r>
        <w:rPr>
          <w:rFonts w:ascii="AytoRoquetas Light Condensed" w:hAnsi="AytoRoquetas Light Condensed" w:cs="AytoRoquetas Light Condensed" w:hint="default"/>
          <w:sz w:val="20"/>
          <w:szCs w:val="20"/>
        </w:rPr>
        <w:t>Contencioso-administrativo: ante el Juzgado de lo Contencioso-Administrativo con sede en Almería, en el plazo de dos meses, desde el día siguiente a la notificación del presente acto, o de la Resolución del Recurso potestativo de reposición (Ley 29/1998, de 13 de julio, reguladora de la Jurisdicción Contencioso-administrativa).</w:t>
      </w:r>
    </w:p>
    <w:p>
      <w:pPr>
        <w:numPr>
          <w:ilvl w:val="0"/>
          <w:numId w:val="1"/>
        </w:numPr>
        <w:tabs>
          <w:tab w:val="left" w:pos="720"/>
        </w:tabs>
        <w:spacing w:after="0" w:line="80" w:lineRule="atLeast"/>
        <w:ind w:left="720" w:right="736"/>
        <w:jc w:val="both"/>
        <w:rPr>
          <w:rFonts w:ascii="AytoRoquetas Light Condensed" w:hAnsi="AytoRoquetas Light Condensed" w:cs="AytoRoquetas Light Condensed" w:hint="default"/>
          <w:sz w:val="20"/>
          <w:szCs w:val="20"/>
        </w:rPr>
      </w:pPr>
      <w:r>
        <w:rPr>
          <w:rFonts w:ascii="AytoRoquetas Light Condensed" w:hAnsi="AytoRoquetas Light Condensed" w:cs="AytoRoquetas Light Condensed" w:hint="default"/>
          <w:sz w:val="20"/>
          <w:szCs w:val="20"/>
        </w:rPr>
        <w:t>Cualquier otro que estime oportuno.</w:t>
      </w:r>
    </w:p>
    <w:p>
      <w:pPr>
        <w:spacing w:after="0" w:line="80" w:lineRule="atLeast"/>
        <w:jc w:val="both"/>
        <w:rPr>
          <w:rFonts w:ascii="AytoRoquetas Light Condensed" w:hAnsi="AytoRoquetas Light Condensed" w:cs="AytoRoquetas Light Condensed" w:hint="default"/>
          <w:sz w:val="20"/>
          <w:szCs w:val="20"/>
        </w:rPr>
      </w:pP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</w:pP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>El presente documento ha sido firmado electr</w:t>
      </w:r>
      <w:r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  <w:t>ónicamente de acuerdo con lo establecido en la Ley 40/2015, de 1 de octubre, de Régimen Jurídico del Sector Público, por el funcionario público en la fecha que se indica al margen del mismo, cuya autenticidad e integridad puede verificarse a través de código seguro que se inserta.</w:t>
      </w: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</w:pPr>
    </w:p>
    <w:sectPr>
      <w:headerReference w:type="default" r:id="rId4"/>
      <w:footerReference w:type="default" r:id="rId5"/>
      <w:pgSz w:w="11906" w:h="16838"/>
      <w:pgMar w:top="3119" w:right="1531" w:bottom="1701" w:left="1814" w:header="720" w:footer="72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charset w:val="00"/>
    <w:family w:val="auto"/>
    <w:pitch w:val="variable"/>
    <w:sig w:usb0="00000000" w:usb1="00000000" w:usb2="00000000" w:usb3="00000000" w:csb0="00000001" w:csb1="00000000"/>
  </w:font>
  <w:font w:name="Calibri">
    <w:charset w:val="00"/>
    <w:family w:val="swiss"/>
    <w:pitch w:val="variable"/>
    <w:sig w:usb0="00000000" w:usb1="00000000" w:usb2="00000000" w:usb3="00000000" w:csb0="00000001" w:csb1="00000000"/>
  </w:font>
  <w:font w:name="Times New Roman">
    <w:charset w:val="00"/>
    <w:family w:val="roman"/>
    <w:pitch w:val="variable"/>
    <w:sig w:usb0="00000000" w:usb1="00000000" w:usb2="00000000" w:usb3="00000000" w:csb0="00000001" w:csb1="00000000"/>
  </w:font>
  <w:font w:name="Tahoma"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charset w:val="00"/>
    <w:family w:val="swiss"/>
    <w:pitch w:val="variable"/>
    <w:sig w:usb0="00000000" w:usb1="00000000" w:usb2="00000000" w:usb3="00000000" w:csb0="00000001" w:csb1="00000000"/>
  </w:font>
  <w:font w:name="Verdana">
    <w:charset w:val="00"/>
    <w:family w:val="swiss"/>
    <w:pitch w:val="variable"/>
    <w:sig w:usb0="00000000" w:usb1="00000000" w:usb2="00000000" w:usb3="00000000" w:csb0="00000001" w:csb1="00000000"/>
  </w:font>
  <w:font w:name="Symbol">
    <w:charset w:val="02"/>
    <w:family w:val="roman"/>
    <w:pitch w:val="variable"/>
    <w:sig w:usb0="00000000" w:usb1="0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  <w:r>
      <w:rPr>
        <w:rFonts w:ascii="Verdana" w:hAnsi="Verdana" w:cs="Verdana"/>
        <w:sz w:val="16"/>
        <w:szCs w:val="16"/>
      </w:rPr>
      <w:tab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Encabezado6"/>
      <w:tabs>
        <w:tab w:val="left" w:pos="3281"/>
        <w:tab w:val="right" w:pos="8391"/>
        <w:tab w:val="clear" w:pos="8504"/>
      </w:tabs>
      <w:spacing w:after="0" w:line="240" w:lineRule="atLeas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0" o:spid="_x0000_s2049" type="#_x0000_t202" style="width:2in;height:54pt;margin-top:0;margin-left:-34pt;mso-wrap-distance-left:0;mso-wrap-distance-right:0;position:absolute;z-index:251658240" filled="t" fillcolor="white" stroked="f">
          <v:textbox>
            <w:txbxContent>
              <w:p>
                <w:pPr>
                  <w:spacing w:after="0" w:line="240" w:lineRule="atLeast"/>
                  <w:rPr>
                    <w:rFonts w:ascii="AytoRoquetas Light Condensed" w:hAnsi="AytoRoquetas Light Condensed" w:cs="AytoRoquetas Light Condensed" w:hint="default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Plaza de la Constituci</w:t>
                </w:r>
                <w:r>
                  <w:rPr>
                    <w:rFonts w:ascii="AytoRoquetas Light Condensed" w:hAnsi="AytoRoquetas Light Condensed" w:cs="AytoRoquetas Light Condensed" w:hint="default"/>
                    <w:color w:val="1D8FC7"/>
                    <w:sz w:val="16"/>
                    <w:szCs w:val="16"/>
                  </w:rPr>
                  <w:t>ón, 1</w:t>
                </w:r>
              </w:p>
              <w:p>
                <w:pPr>
                  <w:spacing w:after="0" w:line="240" w:lineRule="atLeast"/>
                  <w:rPr>
                    <w:rFonts w:ascii="AytoRoquetas Light Condensed" w:hAnsi="AytoRoquetas Light Condensed" w:cs="AytoRoquetas Light Condensed" w:hint="default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 w:hint="default"/>
                    <w:color w:val="1D8FC7"/>
                    <w:sz w:val="16"/>
                    <w:szCs w:val="16"/>
                  </w:rPr>
                  <w:t>04740 Roquetas de Mar, Almería</w:t>
                </w:r>
              </w:p>
              <w:p>
                <w:pPr>
                  <w:spacing w:after="0" w:line="240" w:lineRule="atLeast"/>
                  <w:rPr>
                    <w:rFonts w:ascii="AytoRoquetas Light Condensed" w:hAnsi="AytoRoquetas Light Condensed" w:cs="AytoRoquetas Light Condensed" w:hint="default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 w:hint="default"/>
                    <w:color w:val="1D8FC7"/>
                    <w:sz w:val="16"/>
                    <w:szCs w:val="16"/>
                  </w:rPr>
                  <w:t>Tels.: 950 33 85 85 – 950 33 86 19</w:t>
                </w:r>
              </w:p>
              <w:p>
                <w:pPr>
                  <w:spacing w:after="0" w:line="240" w:lineRule="atLeast"/>
                  <w:rPr>
                    <w:rFonts w:ascii="AytoRoquetas Light Condensed" w:hAnsi="AytoRoquetas Light Condensed" w:cs="AytoRoquetas Light Condensed" w:hint="default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 w:hint="default"/>
                    <w:color w:val="1D8FC7"/>
                    <w:sz w:val="16"/>
                    <w:szCs w:val="16"/>
                  </w:rPr>
                  <w:t>Fax: 950 32 15 14</w:t>
                </w:r>
              </w:p>
            </w:txbxContent>
          </v:textbox>
          <w10:wrap type="square"/>
        </v:shape>
      </w:pict>
    </w:r>
    <w:r>
      <w:rPr>
        <w:rFonts w:ascii="Times New Roman" w:hAnsi="Times New Roman" w:cs="Times New Roman"/>
        <w:sz w:val="16"/>
        <w:szCs w:val="16"/>
      </w:rPr>
      <w:tab/>
    </w:r>
  </w:p>
  <w:p>
    <w:pPr>
      <w:pStyle w:val="Encabezado22"/>
      <w:tabs>
        <w:tab w:val="right" w:pos="8391"/>
        <w:tab w:val="clear" w:pos="8504"/>
      </w:tabs>
      <w:spacing w:after="0" w:line="240" w:lineRule="atLeast"/>
      <w:jc w:val="righ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tx_id_1_" o:spid="_x0000_s2050" type="#_x0000_t75" style="width:150.75pt;height:61.5pt;margin-top:0;margin-left:311.3pt;mso-wrap-distance-left:0;mso-wrap-distance-right:0;position:absolute;z-index:251659264" stroked="f">
          <v:imagedata r:id="rId1" o:title=""/>
          <w10:wrap type="square"/>
        </v:shape>
      </w:pict>
    </w:r>
  </w:p>
  <w:p>
    <w:pPr>
      <w:pStyle w:val="Normal0"/>
      <w:widowControl/>
      <w:tabs>
        <w:tab w:val="center" w:pos="4252"/>
        <w:tab w:val="right" w:pos="8391"/>
      </w:tabs>
      <w:spacing w:line="240" w:lineRule="atLeast"/>
      <w:jc w:val="both"/>
      <w:rPr>
        <w:rFonts w:ascii="Times New Roman" w:hAnsi="Times New Roman" w:cs="Times New Roman"/>
        <w:sz w:val="16"/>
        <w:szCs w:val="16"/>
      </w:rPr>
    </w:pPr>
  </w:p>
  <w:p>
    <w:pPr>
      <w:pStyle w:val="Encabezado25"/>
      <w:tabs>
        <w:tab w:val="right" w:pos="8391"/>
        <w:tab w:val="clear" w:pos="8504"/>
      </w:tabs>
      <w:rPr>
        <w:rFonts w:ascii="Times New Roman" w:hAnsi="Times New Roman" w:cs="Times New Roman"/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  <w:lvl w:ilvl="1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  <w:lvl w:ilvl="2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  <w:lvl w:ilvl="3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  <w:lvl w:ilvl="4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  <w:lvl w:ilvl="5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  <w:lvl w:ilvl="6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  <w:lvl w:ilvl="7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  <w:lvl w:ilvl="8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</w:abstractNum>
  <w:abstractNum w:abstractNumId="1">
    <w:nsid w:val="00000002"/>
    <w:multiLevelType w:val="hybridMultilevel"/>
    <w:tmpl w:val="000000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  <w:b w:val="0"/>
        <w:bCs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>
    <w:nsid w:val="00000003"/>
    <w:multiLevelType w:val="hybridMultilevel"/>
    <w:tmpl w:val="0000000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  <w:b w:val="0"/>
        <w:bCs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1134"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Asci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widowControl/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5">
    <w:name w:val="Encabezado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7">
    <w:name w:val="Encabezado2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6">
    <w:name w:val="Encabezado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4">
    <w:name w:val="Encabezado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3">
    <w:name w:val="Encabezado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">
    <w:name w:val="Texto de globo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  <w:spacing w:after="160" w:line="257" w:lineRule="auto"/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2">
    <w:name w:val="Pie de página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3">
    <w:name w:val="Pie de página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4">
    <w:name w:val="Pie de página24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DefaultParagraphFont"/>
    <w:uiPriority w:val="99"/>
  </w:style>
  <w:style w:type="character" w:customStyle="1" w:styleId="PiedepginaCar">
    <w:name w:val="Pie de página Car"/>
    <w:basedOn w:val="DefaultParagraphFont"/>
    <w:uiPriority w:val="99"/>
  </w:style>
  <w:style w:type="character" w:customStyle="1" w:styleId="EncabezadoCar1">
    <w:name w:val="Encabezado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3">
    <w:name w:val="Encabezado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EncabezadoCar4">
    <w:name w:val="Encabezado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1">
    <w:name w:val="Encabezado Car2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1">
    <w:name w:val="Pie de página Car2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2">
    <w:name w:val="Encabezado Car2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2">
    <w:name w:val="Pie de página Car2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3">
    <w:name w:val="Encabezado Car2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3">
    <w:name w:val="Pie de página Car23"/>
    <w:basedOn w:val="DefaultParagraphFont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Base>C:\Users\ANTONI~1.JIM\AppData\Local\Temp\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