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tbl>
      <w:tblPr>
        <w:tblW w:w="0" w:type="auto"/>
        <w:tblInd w:w="108" w:type="dxa"/>
        <w:tblLayout w:type="fixed"/>
      </w:tblPr>
      <w:tblGrid>
        <w:gridCol w:w="3261"/>
        <w:gridCol w:w="5166"/>
      </w:tblGrid>
      <w:tr>
        <w:tblPrEx>
          <w:tblW w:w="0" w:type="auto"/>
          <w:tblInd w:w="108" w:type="dxa"/>
          <w:tblLayout w:type="fixed"/>
        </w:tblPrEx>
        <w:trPr>
          <w:trHeight w:val="284"/>
        </w:trPr>
        <w:tc>
          <w:tcPr>
            <w:tcW w:w="3261" w:type="dxa"/>
            <w:vAlign w:val="top"/>
          </w:tcPr>
          <w:p>
            <w:pPr>
              <w:spacing w:after="0" w:line="288" w:lineRule="auto"/>
              <w:jc w:val="both"/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  <w:sz w:val="20"/>
                <w:szCs w:val="20"/>
              </w:rPr>
              <w:t>CONSORCIO AGUAS DEL PONIENTE</w:t>
            </w:r>
            <w:r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>
            <w:pPr>
              <w:spacing w:after="0" w:line="288" w:lineRule="auto"/>
              <w:jc w:val="both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  <w:t>Expediente: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2024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/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59</w:t>
            </w:r>
          </w:p>
          <w:p>
            <w:pPr>
              <w:spacing w:after="0" w:line="288" w:lineRule="auto"/>
              <w:ind w:firstLine="567"/>
              <w:jc w:val="both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</w:p>
        </w:tc>
        <w:tc>
          <w:tcPr>
            <w:tcW w:w="5166" w:type="dxa"/>
            <w:vAlign w:val="center"/>
          </w:tcPr>
          <w:p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CATERING KQ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</w:t>
            </w:r>
          </w:p>
          <w:p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C/ROMANILLA,74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</w:t>
            </w:r>
          </w:p>
          <w:p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ROQUETAS DE MAR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). 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ALMERIA</w:t>
            </w:r>
          </w:p>
        </w:tc>
      </w:tr>
    </w:tbl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He de comunicarle que con fecha 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jueves, 27 de junio de 2024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, el Sr. Presidente del Consorcio del Ciclo integral del Agua del Poniente Almeriense, ha dictado Decreto con n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 xml:space="preserve">úmero 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>2024/58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 xml:space="preserve"> del siguiente tenor literal:</w:t>
      </w: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ab/>
      </w: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 xml:space="preserve">Vistos los expedientes de solicitud de autorización de vertidos y una vez realizada la visita a sus instalaciones y emitidos informes favorables por la Sra. Técnico de Control de Vertidos de Hidralia, Gestión Integral de Aguas de Andalucía SA de 17 de junio de 2024 y de acuerdo con la Ordenanza de vertidos a la red de alcantarillado del Consorcio (BOP de Almería número 149 de 5 de agosto de 2021), y con el acuerdo de la Junta General del Consorcio de 21 de abril de 2021, de nombramiento de Presidente y la Ordenanza de vertidos a la red de alcantarillado del Consocio (B.O.P de Almería Núm. 149 de 5 de agosto de 2021), es por lo que </w:t>
      </w: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VENGO A RESOLVER:</w:t>
      </w: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1º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. Conceder la “Autorización de Vertido” en la red de saneamiento de Roquetas de Mar a:</w:t>
      </w:r>
    </w:p>
    <w:p>
      <w:pPr>
        <w:widowControl/>
        <w:numPr>
          <w:ilvl w:val="0"/>
          <w:numId w:val="2"/>
        </w:numPr>
        <w:pBdr>
          <w:left w:val="none" w:sz="0" w:space="7" w:color="auto"/>
        </w:pBdr>
        <w:autoSpaceDE/>
        <w:autoSpaceDN/>
        <w:adjustRightInd/>
        <w:spacing w:before="0" w:after="0" w:line="288" w:lineRule="auto"/>
        <w:ind w:left="1429" w:right="0" w:hanging="36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CATERING KQ</w:t>
      </w:r>
    </w:p>
    <w:p>
      <w:pPr>
        <w:widowControl/>
        <w:autoSpaceDE/>
        <w:autoSpaceDN/>
        <w:adjustRightInd/>
        <w:spacing w:before="0" w:after="0" w:line="288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C/ ROMANILLA 74</w:t>
      </w:r>
    </w:p>
    <w:p>
      <w:pPr>
        <w:widowControl/>
        <w:autoSpaceDE/>
        <w:autoSpaceDN/>
        <w:adjustRightInd/>
        <w:spacing w:before="0" w:after="0" w:line="288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04740 ROQUETAS DE MAR – ALMERIA</w:t>
      </w:r>
    </w:p>
    <w:p>
      <w:pPr>
        <w:widowControl/>
        <w:autoSpaceDE/>
        <w:autoSpaceDN/>
        <w:adjustRightInd/>
        <w:spacing w:before="0" w:after="0" w:line="288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CIF 2420017A</w:t>
      </w: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La concesión de autorización queda sometida a los siguientes condicionantes:</w:t>
      </w: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numPr>
          <w:ilvl w:val="0"/>
          <w:numId w:val="3"/>
        </w:numPr>
        <w:pBdr>
          <w:left w:val="none" w:sz="0" w:space="7" w:color="auto"/>
        </w:pBdr>
        <w:autoSpaceDE/>
        <w:autoSpaceDN/>
        <w:adjustRightInd/>
        <w:spacing w:before="0" w:after="0" w:line="288" w:lineRule="auto"/>
        <w:ind w:left="720" w:right="0" w:hanging="36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color w:val="000000"/>
          <w:sz w:val="24"/>
          <w:szCs w:val="24"/>
        </w:rPr>
        <w:t>La entrega a gestores autorizados de los residuos potencialmente vertibles a la red, tipo aceites usados y grasas, que será necesario acreditar anualmente a Hidralia.</w:t>
      </w: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El término de cuota ambiental se aplicará según se detalla en el Anexo 8 de la Ordenanza.</w:t>
      </w: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Dicha autorización no exime al titular de la observancia de otras disciplinas, autorizaciones, permisos, etc. a que hubiere lugar de acuerdo a las normativas de aplicación, y de cuantas medidas sean de aplicación en materia de almacenamiento de residuos, sustancias, etc. que por su condición o peligrosidad deban ser tenidas en cuenta con el fin de prevenir su vertido accidental en las redes de saneamiento, y solo se emite a efectos de admisión del vertido en las redes de saneamiento municipales.</w:t>
      </w: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Todo ello sin perjuicio que con posterioridad pudiera demostrarse la presencia de sustancia prohibidas del Anexo 1 o que superen los valores máximos tolerados de sustancias del Anexo 2, en cuyo caso se suspendería la autorización de vertido, con las consecuencias descritas en la Ordenanza.</w:t>
      </w: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La calificación del vertido es a fecha de expedición.</w:t>
      </w: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2º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. Dar traslado del presente Decreto al interesado.</w:t>
      </w: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 xml:space="preserve">« 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 xml:space="preserve"> »</w:t>
      </w: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>Frente a esta Resolución, firme en vía administrativa de conformidad con lo establecido en el artículo 52.2 de la Ley 7/1985, Reguladora de las Bases de Régimen Local, en relación con el artículo 114 de la Ley 39/2015, de 1 de octubre, del Procedimiento Administrativo Común de las Administraciones Públicas (BOE nº 236 de 2 de octubre de 2015), cabe interponer los siguientes</w:t>
      </w: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</w:p>
    <w:p>
      <w:pPr>
        <w:jc w:val="center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  <w:t>RECURSOS</w:t>
      </w:r>
    </w:p>
    <w:p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>Potestativo de Reposici</w:t>
      </w:r>
      <w:r>
        <w:rPr>
          <w:rFonts w:ascii="AytoRoquetas Light Condensed" w:hAnsi="AytoRoquetas Light Condensed" w:cs="AytoRoquetas Light Condensed" w:hint="default"/>
          <w:sz w:val="20"/>
          <w:szCs w:val="20"/>
        </w:rPr>
        <w:t>ón: ante el mismo órgano que lo hubiere dictado en el plazo de un mes, desde el día siguiente a la notificación del mismo (artículo 123 y 124 de la Ley 39/2015).</w:t>
      </w:r>
    </w:p>
    <w:p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sz w:val="20"/>
          <w:szCs w:val="20"/>
        </w:rPr>
        <w:t>Contencioso-administrativo: ante el Juzgado de lo Contencioso-Administrativo con sede en Almería, en el plazo de dos meses, desde el día siguiente a la notificación del presente acto, o de la Resolución del Recurso potestativo de reposición (Ley 29/1998, de 13 de julio, reguladora de la Jurisdicción Contencioso-administrativa).</w:t>
      </w:r>
    </w:p>
    <w:p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sz w:val="20"/>
          <w:szCs w:val="20"/>
        </w:rPr>
        <w:t>Cualquier otro que estime oportuno.</w:t>
      </w:r>
    </w:p>
    <w:p>
      <w:pPr>
        <w:spacing w:after="0" w:line="80" w:lineRule="atLeast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El presente documento ha sido firmado electr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>ónicamente de acuerdo con lo establecido en la Ley 40/2015, de 1 de octubre, de Régimen Jurídico del Sector Público, por el funcionario público en la fecha que se indica al margen del mismo, cuya autenticidad e integridad puede verificarse a través de código seguro que se inserta.</w:t>
      </w: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</w:p>
    <w:sectPr>
      <w:headerReference w:type="default" r:id="rId4"/>
      <w:footerReference w:type="default" r:id="rId5"/>
      <w:pgSz w:w="11906" w:h="16838"/>
      <w:pgMar w:top="3119" w:right="1531" w:bottom="1701" w:left="1814" w:header="720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Encabezado6"/>
      <w:tabs>
        <w:tab w:val="left" w:pos="3281"/>
        <w:tab w:val="right" w:pos="8391"/>
        <w:tab w:val="clear" w:pos="8504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width:2in;height:54pt;margin-top:0;margin-left:-34pt;mso-wrap-distance-left:0;mso-wrap-distance-right:0;position:absolute;z-index:251658240" filled="t" fillcolor="white" stroked="f">
          <v:textbox>
            <w:txbxContent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ón, 1</w:t>
                </w:r>
              </w:p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>
    <w:pPr>
      <w:pStyle w:val="Encabezado22"/>
      <w:tabs>
        <w:tab w:val="right" w:pos="8391"/>
        <w:tab w:val="clear" w:pos="8504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width:150.75pt;height:61.5pt;margin-top:0;margin-left:311.3pt;mso-wrap-distance-left:0;mso-wrap-distance-right:0;position:absolute;z-index:251659264" stroked="f">
          <v:imagedata r:id="rId1" o:title=""/>
          <w10:wrap type="square"/>
        </v:shape>
      </w:pict>
    </w:r>
  </w:p>
  <w:p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  <w:p>
    <w:pPr>
      <w:pStyle w:val="Encabezado25"/>
      <w:tabs>
        <w:tab w:val="right" w:pos="8391"/>
        <w:tab w:val="clear" w:pos="8504"/>
      </w:tabs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1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2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3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4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5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6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7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8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</w:abstractNum>
  <w:abstractNum w:abstractNumId="1">
    <w:nsid w:val="00000002"/>
    <w:multiLevelType w:val="hybridMultilevel"/>
    <w:tmpl w:val="000000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hybridMultilevel"/>
    <w:tmpl w:val="0000000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  <w:spacing w:after="160" w:line="257" w:lineRule="auto"/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