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Solicitud de modificacion de la Dotacion Economica de 2024 , en base a la actualizacion del 15,1% y remanente de años anteriores, De igual forma se actualiza listado de actuaciones en base a adjudicacion Proyecto Perte Biogas y nuevas necesidades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aprobacion de la Dotación Económica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