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E34A79" w14:textId="77777777" w:rsidR="00682E7A" w:rsidRPr="003645B5" w:rsidRDefault="00682E7A" w:rsidP="00682E7A">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8ACCFEF" w14:textId="77777777" w:rsidR="00682E7A" w:rsidRPr="003645B5" w:rsidRDefault="00682E7A" w:rsidP="00682E7A">
      <w:pPr>
        <w:pStyle w:val="Default"/>
        <w:spacing w:line="288" w:lineRule="auto"/>
        <w:contextualSpacing/>
        <w:jc w:val="both"/>
        <w:rPr>
          <w:color w:val="auto"/>
          <w:sz w:val="22"/>
          <w:szCs w:val="22"/>
        </w:rPr>
      </w:pPr>
    </w:p>
    <w:p w14:paraId="28B1E4B5" w14:textId="77777777" w:rsidR="00682E7A" w:rsidRPr="003645B5" w:rsidRDefault="00682E7A" w:rsidP="00682E7A">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4B9FC846" w14:textId="77777777" w:rsidR="00682E7A" w:rsidRPr="003645B5" w:rsidRDefault="00682E7A" w:rsidP="00682E7A">
      <w:pPr>
        <w:pStyle w:val="Textoindependiente"/>
        <w:spacing w:line="288" w:lineRule="auto"/>
        <w:contextualSpacing/>
        <w:rPr>
          <w:rFonts w:ascii="AytoRoquetas Light Condensed" w:eastAsia="Georgia" w:hAnsi="AytoRoquetas Light Condensed" w:cs="Georgia"/>
          <w:b w:val="0"/>
          <w:sz w:val="22"/>
          <w:szCs w:val="22"/>
          <w:lang w:eastAsia="en-US"/>
        </w:rPr>
      </w:pPr>
    </w:p>
    <w:p w14:paraId="4BD2FB13" w14:textId="77777777" w:rsidR="00682E7A" w:rsidRDefault="00682E7A" w:rsidP="00682E7A">
      <w:pPr>
        <w:pStyle w:val="Formatolibre"/>
        <w:spacing w:line="276" w:lineRule="auto"/>
        <w:jc w:val="both"/>
        <w:rPr>
          <w:rFonts w:ascii="AytoRoquetas Light Condensed" w:eastAsia="Times New Roman" w:hAnsi="AytoRoquetas Light Condensed"/>
          <w:b/>
          <w:color w:val="auto"/>
          <w:sz w:val="26"/>
          <w:szCs w:val="26"/>
          <w:lang w:val="es-ES"/>
        </w:rPr>
      </w:pPr>
      <w:r>
        <w:rPr>
          <w:rFonts w:ascii="AytoRoquetas Light Condensed" w:hAnsi="AytoRoquetas Light Condensed"/>
          <w:b/>
          <w:bCs/>
          <w:sz w:val="22"/>
          <w:lang w:val="es-ES"/>
        </w:rPr>
        <w:t>6</w:t>
      </w:r>
      <w:r w:rsidRPr="001F2BFC">
        <w:rPr>
          <w:rFonts w:ascii="AytoRoquetas Light Condensed" w:hAnsi="AytoRoquetas Light Condensed"/>
          <w:b/>
          <w:bCs/>
          <w:sz w:val="22"/>
          <w:lang w:val="es-ES"/>
        </w:rPr>
        <w:t>.</w:t>
      </w:r>
      <w:r>
        <w:rPr>
          <w:rFonts w:ascii="AytoRoquetas Light Condensed" w:hAnsi="AytoRoquetas Light Condensed"/>
          <w:sz w:val="22"/>
          <w:lang w:val="es-ES"/>
        </w:rPr>
        <w:t xml:space="preserve"> </w:t>
      </w:r>
      <w:r w:rsidRPr="004F2BA9">
        <w:rPr>
          <w:rFonts w:ascii="AytoRoquetas Light Condensed" w:hAnsi="AytoRoquetas Light Condensed"/>
          <w:b/>
          <w:bCs/>
          <w:sz w:val="22"/>
          <w:lang w:val="es-ES"/>
        </w:rPr>
        <w:t>1</w:t>
      </w:r>
      <w:r>
        <w:rPr>
          <w:rFonts w:ascii="AytoRoquetas Light Condensed" w:hAnsi="AytoRoquetas Light Condensed"/>
          <w:b/>
          <w:bCs/>
          <w:sz w:val="22"/>
          <w:lang w:val="es-ES"/>
        </w:rPr>
        <w:t xml:space="preserve"> </w:t>
      </w:r>
      <w:r>
        <w:rPr>
          <w:rFonts w:ascii="AytoRoquetas Light Condensed" w:eastAsia="Times New Roman" w:hAnsi="AytoRoquetas Light Condensed"/>
          <w:b/>
          <w:color w:val="auto"/>
          <w:sz w:val="26"/>
          <w:szCs w:val="26"/>
        </w:rPr>
        <w:t>PROPOSICIÓN relativa a la aprobación definitiva de la Cuenta General del año 2022</w:t>
      </w:r>
    </w:p>
    <w:p w14:paraId="77F6D2FA" w14:textId="77777777" w:rsidR="00682E7A" w:rsidRDefault="00682E7A" w:rsidP="00682E7A">
      <w:pPr>
        <w:pStyle w:val="Textoindependiente"/>
        <w:spacing w:line="276" w:lineRule="auto"/>
        <w:rPr>
          <w:rFonts w:ascii="AytoRoquetas Light Condensed" w:hAnsi="AytoRoquetas Light Condensed"/>
          <w:sz w:val="26"/>
          <w:szCs w:val="26"/>
          <w:lang w:val="es-ES"/>
        </w:rPr>
      </w:pPr>
    </w:p>
    <w:p w14:paraId="5308C12C" w14:textId="77777777" w:rsidR="00682E7A" w:rsidRDefault="00682E7A" w:rsidP="00682E7A">
      <w:pPr>
        <w:pStyle w:val="Formatolibre"/>
        <w:spacing w:line="276" w:lineRule="auto"/>
        <w:ind w:firstLine="284"/>
        <w:jc w:val="both"/>
        <w:rPr>
          <w:rFonts w:ascii="AytoRoquetas Light Condensed" w:eastAsia="Times New Roman" w:hAnsi="AytoRoquetas Light Condensed"/>
          <w:bCs/>
          <w:color w:val="auto"/>
          <w:sz w:val="22"/>
          <w:szCs w:val="22"/>
          <w:lang w:val="es-ES"/>
        </w:rPr>
      </w:pPr>
      <w:r>
        <w:rPr>
          <w:rFonts w:ascii="AytoRoquetas Light Condensed" w:eastAsia="Times New Roman" w:hAnsi="AytoRoquetas Light Condensed"/>
          <w:bCs/>
          <w:color w:val="auto"/>
          <w:sz w:val="22"/>
          <w:szCs w:val="22"/>
          <w:lang w:val="es-ES"/>
        </w:rPr>
        <w:t>Sobre la Cuenta General del ejercicio 2022, se da cuenta del informe de Intervención de fecha 10 de mayo de 2023:</w:t>
      </w:r>
    </w:p>
    <w:p w14:paraId="11E794AC" w14:textId="77777777" w:rsidR="00682E7A" w:rsidRDefault="00682E7A" w:rsidP="00682E7A">
      <w:pPr>
        <w:pStyle w:val="Formatolibre"/>
        <w:spacing w:line="276" w:lineRule="auto"/>
        <w:jc w:val="both"/>
        <w:rPr>
          <w:rFonts w:ascii="AytoRoquetas Light Condensed" w:eastAsia="Times New Roman" w:hAnsi="AytoRoquetas Light Condensed"/>
          <w:bCs/>
          <w:color w:val="auto"/>
          <w:sz w:val="22"/>
          <w:szCs w:val="22"/>
          <w:lang w:val="es-ES"/>
        </w:rPr>
      </w:pPr>
    </w:p>
    <w:p w14:paraId="7C3F3C3C" w14:textId="77777777" w:rsidR="00682E7A" w:rsidRDefault="00682E7A" w:rsidP="00682E7A">
      <w:pPr>
        <w:pStyle w:val="Formatolibre"/>
        <w:spacing w:line="276" w:lineRule="auto"/>
        <w:jc w:val="both"/>
        <w:rPr>
          <w:rFonts w:ascii="AytoRoquetas Light Condensed" w:eastAsia="Times New Roman" w:hAnsi="AytoRoquetas Light Condensed"/>
          <w:bCs/>
          <w:color w:val="auto"/>
          <w:sz w:val="22"/>
          <w:szCs w:val="22"/>
          <w:lang w:val="es-ES"/>
        </w:rPr>
      </w:pPr>
    </w:p>
    <w:p w14:paraId="20F6BB04" w14:textId="77777777" w:rsidR="00682E7A" w:rsidRDefault="00682E7A" w:rsidP="00682E7A">
      <w:pPr>
        <w:ind w:right="-568" w:firstLine="284"/>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“El artículo 27 de los vigentes Estatutos del Consorcio </w:t>
      </w:r>
      <w:bookmarkStart w:id="0" w:name="_Hlk134447147"/>
      <w:r>
        <w:rPr>
          <w:rFonts w:ascii="AytoRoquetas Light Condensed" w:eastAsia="Times New Roman" w:hAnsi="AytoRoquetas Light Condensed" w:cs="Arial"/>
          <w:i/>
          <w:iCs/>
        </w:rPr>
        <w:t>para la gestión de los servicios integrados de abastecimiento de agua y saneamiento de los Municipios del Poniente</w:t>
      </w:r>
      <w:bookmarkEnd w:id="0"/>
      <w:r>
        <w:rPr>
          <w:rFonts w:ascii="AytoRoquetas Light Condensed" w:eastAsia="Times New Roman" w:hAnsi="AytoRoquetas Light Condensed" w:cs="Arial"/>
          <w:i/>
          <w:iCs/>
        </w:rPr>
        <w:t xml:space="preserv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34714D9D" w14:textId="77777777" w:rsidR="00682E7A" w:rsidRDefault="00682E7A" w:rsidP="00682E7A">
      <w:pPr>
        <w:ind w:right="-568" w:firstLine="284"/>
        <w:jc w:val="both"/>
        <w:rPr>
          <w:rFonts w:ascii="AytoRoquetas Light Condensed" w:eastAsia="Times New Roman" w:hAnsi="AytoRoquetas Light Condensed" w:cs="Arial"/>
          <w:i/>
          <w:iCs/>
        </w:rPr>
      </w:pPr>
    </w:p>
    <w:p w14:paraId="79BB4C9C" w14:textId="77777777" w:rsidR="00682E7A" w:rsidRDefault="00682E7A" w:rsidP="00682E7A">
      <w:pPr>
        <w:ind w:right="-568" w:firstLine="284"/>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Al día de la fecha no se encuentra constituido el Consejo de Participación Social por lo que habrá de ser la Junta General del Consorcio quien examine las cuentas, se expongan a información pública y posteriormente apruebe las mismas.</w:t>
      </w:r>
    </w:p>
    <w:p w14:paraId="2176EEF1" w14:textId="77777777" w:rsidR="00682E7A" w:rsidRDefault="00682E7A" w:rsidP="00682E7A">
      <w:pPr>
        <w:ind w:right="-568" w:firstLine="284"/>
        <w:jc w:val="both"/>
        <w:rPr>
          <w:rFonts w:ascii="AytoRoquetas Light Condensed" w:eastAsia="Times New Roman" w:hAnsi="AytoRoquetas Light Condensed" w:cs="Arial"/>
          <w:i/>
          <w:iCs/>
        </w:rPr>
      </w:pPr>
    </w:p>
    <w:p w14:paraId="6AB9472D" w14:textId="10A6B725" w:rsidR="00682E7A" w:rsidRDefault="00682E7A" w:rsidP="00682E7A">
      <w:pPr>
        <w:ind w:right="-568" w:firstLine="284"/>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Confeccionados los estados que componen la Cuenta General de la Entidad Local, correspondiente al ejercicio 2022, y una vez llevada a cabo la comprobación y análisis de los mismos, preparada la documentación complementaria exigida por la normativa vigente y una vez aprobada la liquidación del presupuesto del ejercicio 2022, mediante Decreto de Presidencia de 10 de febrero de 2023, esta Intervención, de  conformidad con lo establecido en el artículo 200.1 del Texto Refundido de la Ley Reguladora de Haciendas Locales, aprobado por Real Decreto Legislativo 2/2004, de 5 de marzo, y en la Regla 47 de la Orden HAP/1781/2013, de 20 de septiembre, por la que se aprueba la Instrucción del Modelo Normal de Contabilidad Local, y a efectos de rendición de la citada cuenta por parte de la Presidenta de la Corporación ante la Junta General, para su estudio y dictamen y posterior aprobación, emite el presente </w:t>
      </w:r>
    </w:p>
    <w:p w14:paraId="5ACA7985" w14:textId="77777777" w:rsidR="00682E7A" w:rsidRDefault="00682E7A" w:rsidP="00682E7A">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57"/>
        <w:jc w:val="center"/>
        <w:rPr>
          <w:rFonts w:ascii="AytoRoquetas Light Condensed" w:eastAsia="Times New Roman" w:hAnsi="AytoRoquetas Light Condensed" w:cs="Arial"/>
          <w:b/>
          <w:bCs/>
          <w:i/>
          <w:iCs/>
        </w:rPr>
      </w:pPr>
      <w:r>
        <w:rPr>
          <w:rFonts w:ascii="AytoRoquetas Light Condensed" w:eastAsia="Times New Roman" w:hAnsi="AytoRoquetas Light Condensed" w:cs="Arial"/>
          <w:b/>
          <w:bCs/>
          <w:i/>
          <w:iCs/>
        </w:rPr>
        <w:lastRenderedPageBreak/>
        <w:t>INFORME</w:t>
      </w:r>
    </w:p>
    <w:p w14:paraId="24A4CFF7" w14:textId="77777777" w:rsidR="00682E7A" w:rsidRDefault="00682E7A" w:rsidP="00682E7A">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23" w:right="57" w:firstLine="685"/>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PRIMERO.</w:t>
      </w:r>
      <w:r>
        <w:rPr>
          <w:rFonts w:ascii="AytoRoquetas Light Condensed" w:eastAsia="Times New Roman" w:hAnsi="AytoRoquetas Light Condensed" w:cs="Arial"/>
          <w:i/>
          <w:iCs/>
        </w:rPr>
        <w:t xml:space="preserve"> La Legislación aplicable es la siguiente:</w:t>
      </w:r>
    </w:p>
    <w:p w14:paraId="61CAF8BE" w14:textId="77777777" w:rsidR="00682E7A" w:rsidRDefault="00682E7A" w:rsidP="00682E7A">
      <w:pPr>
        <w:spacing w:after="120"/>
        <w:ind w:left="23" w:right="57" w:firstLine="696"/>
        <w:rPr>
          <w:rFonts w:ascii="AytoRoquetas Light Condensed" w:eastAsia="Times New Roman" w:hAnsi="AytoRoquetas Light Condensed" w:cs="Arial"/>
          <w:i/>
          <w:iCs/>
        </w:rPr>
      </w:pPr>
    </w:p>
    <w:p w14:paraId="42B56BD6" w14:textId="77777777" w:rsidR="00682E7A" w:rsidRDefault="00682E7A" w:rsidP="00682E7A">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Los artículos 22.2 e) y 116 de la Ley 7/1985, de 2 de abril, Reguladora de las Bases del Régimen Local.</w:t>
      </w:r>
    </w:p>
    <w:p w14:paraId="44F6D047" w14:textId="77777777" w:rsidR="00682E7A" w:rsidRDefault="00682E7A" w:rsidP="00682E7A">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Ley 40/2015, de 1 de octubre, de Régimen Jurídico del Sector Público.</w:t>
      </w:r>
    </w:p>
    <w:p w14:paraId="4BA0FDF9" w14:textId="77777777" w:rsidR="00682E7A" w:rsidRDefault="00682E7A" w:rsidP="00682E7A">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Los artículos 208 a 212 del Texto Refundido de la Ley Reguladora de las Haciendas Locales aprobado por Real Decreto Legislativo 2/2004, de 5 de marzo.</w:t>
      </w:r>
    </w:p>
    <w:p w14:paraId="7A3C0C8D" w14:textId="77777777" w:rsidR="00682E7A" w:rsidRDefault="00682E7A" w:rsidP="00682E7A">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El artículo 119.3 de la Ley 47/2003, de 26 de noviembre, General Presupuestaria.</w:t>
      </w:r>
    </w:p>
    <w:p w14:paraId="6CBA67EB" w14:textId="77777777" w:rsidR="00682E7A" w:rsidRDefault="00682E7A" w:rsidP="00682E7A">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Las Reglas 44 y siguientes de la Orden HAP/1781/2013, de 20 de septiembre, por la que se aprueba la Instrucción del Modelo Normal de Contabilidad Local.</w:t>
      </w:r>
    </w:p>
    <w:p w14:paraId="46319563" w14:textId="77777777" w:rsidR="00682E7A" w:rsidRDefault="00682E7A" w:rsidP="00682E7A">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Resolución de 28 de julio de 2006, de la Intervención General de la Administración del Estado, por la que se recomienda un formato normalizado de la cuenta general de las entidades locales en soporte informático que facilite su rendición.</w:t>
      </w:r>
    </w:p>
    <w:p w14:paraId="773CC9E8" w14:textId="77777777" w:rsidR="00682E7A" w:rsidRDefault="00682E7A" w:rsidP="00682E7A">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La Orden EHA/3565/2008, de 3 de diciembre, por la que se Aprueba la Estructura de los Presupuestos de las Entidades Locales, modificada por la Orden HAP/419/2014, de 14 de marzo.</w:t>
      </w:r>
    </w:p>
    <w:p w14:paraId="721ACC67" w14:textId="77777777" w:rsidR="00682E7A" w:rsidRDefault="00682E7A" w:rsidP="00682E7A">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Resolución de 13 de abril de 2015, de la Presidencia de la Cámara 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092086D4" w14:textId="77777777" w:rsidR="00682E7A" w:rsidRDefault="00682E7A" w:rsidP="00682E7A">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Convenio de 21 de abril de 2015, entre la Cámara de Cuentas de Andalucía y el Tribunal de Cuentas para la coordinación de la rendición telemática de las Cuentas Generales de las entidades locales andaluzas.</w:t>
      </w:r>
    </w:p>
    <w:p w14:paraId="3FE12CC9" w14:textId="77777777" w:rsidR="00682E7A" w:rsidRDefault="00682E7A" w:rsidP="00682E7A">
      <w:pPr>
        <w:ind w:left="24" w:right="57" w:hanging="284"/>
        <w:jc w:val="both"/>
        <w:rPr>
          <w:rFonts w:ascii="AytoRoquetas Light Condensed" w:eastAsia="Times New Roman" w:hAnsi="AytoRoquetas Light Condensed" w:cs="Arial"/>
          <w:b/>
          <w:bCs/>
          <w:i/>
          <w:iCs/>
        </w:rPr>
      </w:pPr>
    </w:p>
    <w:p w14:paraId="14238A9F" w14:textId="61E8D23A"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SEGUNDO.</w:t>
      </w:r>
      <w:r>
        <w:rPr>
          <w:rFonts w:ascii="AytoRoquetas Light Condensed" w:eastAsia="Times New Roman" w:hAnsi="AytoRoquetas Light Condensed" w:cs="Arial"/>
          <w:i/>
          <w:iCs/>
        </w:rPr>
        <w:t xml:space="preserve"> El artículo 200.1 del Real Decreto Legislativo 2/2004, de 5 de marzo, por el que se aprueba el Texto Refundido de la Ley Reguladora de las Haciendas Locales, establece que las Entidades Locales y sus 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Cuentas”.</w:t>
      </w:r>
    </w:p>
    <w:p w14:paraId="3289BD18"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General.</w:t>
      </w:r>
    </w:p>
    <w:p w14:paraId="31A6860C" w14:textId="77777777" w:rsidR="00682E7A" w:rsidRDefault="00682E7A" w:rsidP="00682E7A">
      <w:pPr>
        <w:widowControl w:val="0"/>
        <w:ind w:firstLine="708"/>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lastRenderedPageBreak/>
        <w:t>TERCERO.</w:t>
      </w:r>
      <w:r>
        <w:rPr>
          <w:rFonts w:ascii="AytoRoquetas Light Condensed" w:eastAsia="Times New Roman" w:hAnsi="AytoRoquetas Light Condensed" w:cs="Arial"/>
          <w:i/>
          <w:iCs/>
        </w:rPr>
        <w:t xml:space="preserve"> De conformidad con el artículo 122 LRJSP, los consorcios estarán sujetos al régimen de presupuestación, contabilidad y control de la Administración Pública a la que estén adscritos, sin perjuicio de su sujeción a 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incluirse en la cuenta general de la Administración Pública de adscripción, conforme al apartado cuarto del artículo 122 LRJSP. </w:t>
      </w:r>
    </w:p>
    <w:p w14:paraId="5C71485C"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CUARTO.</w:t>
      </w:r>
      <w:r>
        <w:rPr>
          <w:rFonts w:ascii="AytoRoquetas Light Condensed" w:eastAsia="Times New Roman" w:hAnsi="AytoRoquetas Light Condensed" w:cs="Arial"/>
          <w:i/>
          <w:iCs/>
        </w:rPr>
        <w:t xml:space="preserve">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00F1CEA3" w14:textId="5ACCE5EC" w:rsidR="00682E7A" w:rsidRDefault="00E976AD"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QUINTO</w:t>
      </w:r>
      <w:r w:rsidR="00682E7A">
        <w:rPr>
          <w:rFonts w:ascii="AytoRoquetas Light Condensed" w:eastAsia="Times New Roman" w:hAnsi="AytoRoquetas Light Condensed" w:cs="Arial"/>
          <w:b/>
          <w:bCs/>
          <w:i/>
          <w:iCs/>
        </w:rPr>
        <w:t>.</w:t>
      </w:r>
      <w:r w:rsidR="00682E7A">
        <w:rPr>
          <w:rFonts w:ascii="AytoRoquetas Light Condensed" w:eastAsia="Times New Roman" w:hAnsi="AytoRoquetas Light Condensed" w:cs="Arial"/>
          <w:i/>
          <w:iCs/>
        </w:rPr>
        <w:t xml:space="preserve"> Las cuentas anuales que integran la Cuenta de la propia entidad son las siguientes:</w:t>
      </w:r>
    </w:p>
    <w:p w14:paraId="5790F531"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 El Balance.</w:t>
      </w:r>
    </w:p>
    <w:p w14:paraId="6F1B388F"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b) La Cuenta del resultado económico-patrimonial.</w:t>
      </w:r>
    </w:p>
    <w:p w14:paraId="0255B080"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 El Estado de cambios en el patrimonio neto.</w:t>
      </w:r>
    </w:p>
    <w:p w14:paraId="2C60DD5E"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d) El Estado de flujos de efectivo.</w:t>
      </w:r>
    </w:p>
    <w:p w14:paraId="1B1921D7"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 El Estado de Liquidación del Presupuesto.</w:t>
      </w:r>
    </w:p>
    <w:p w14:paraId="2E33F28C"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f) La Memoria.</w:t>
      </w:r>
    </w:p>
    <w:p w14:paraId="19ECBC9A"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 las cuentas anuales del Consorcio deberá unirse la siguiente documentación:</w:t>
      </w:r>
    </w:p>
    <w:p w14:paraId="2A0C2E52" w14:textId="77777777" w:rsidR="00682E7A" w:rsidRDefault="00682E7A" w:rsidP="00682E7A">
      <w:pPr>
        <w:numPr>
          <w:ilvl w:val="0"/>
          <w:numId w:val="1"/>
        </w:numPr>
        <w:autoSpaceDE/>
        <w:autoSpaceDN/>
        <w:adjustRightInd/>
        <w:spacing w:after="0"/>
        <w:ind w:right="57"/>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Actas de arqueo de las existencias en Caja referidas a fin de ejercicio. </w:t>
      </w:r>
    </w:p>
    <w:p w14:paraId="3059D97B" w14:textId="77777777" w:rsidR="00682E7A" w:rsidRDefault="00682E7A" w:rsidP="00682E7A">
      <w:pPr>
        <w:ind w:right="57"/>
        <w:jc w:val="both"/>
        <w:rPr>
          <w:rFonts w:ascii="AytoRoquetas Light Condensed" w:eastAsia="Times New Roman" w:hAnsi="AytoRoquetas Light Condensed" w:cs="Arial"/>
          <w:i/>
          <w:iCs/>
        </w:rPr>
      </w:pPr>
    </w:p>
    <w:p w14:paraId="01F9076C" w14:textId="77777777" w:rsidR="00682E7A" w:rsidRDefault="00682E7A" w:rsidP="00682E7A">
      <w:pPr>
        <w:ind w:right="57"/>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b/>
        <w:t>El Acta de arqueo sólo ha de incluir las existencias en Caja a fin de ejercicio, y su comprobación con los datos que arroja la contabilidad. No forman parte del Acta de Arqueo las existencias en cuentas abiertas en entidades de crédito.</w:t>
      </w:r>
    </w:p>
    <w:p w14:paraId="7EE9A5FB" w14:textId="77777777" w:rsidR="00682E7A" w:rsidRDefault="00682E7A" w:rsidP="00682E7A">
      <w:pPr>
        <w:ind w:right="57"/>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Esta Intervención ha verificado que el arqueo aportado refleja el recuento del efectivo real en caja y su comprobación con los datos extraídos de la contabilidad, y que está suscrito por la Tesorera, constando las diligencias oportunas que han sido consideradas por la misma. Consta en el expediente las certificaciones de cada entidad bancaria de los saldos existentes en las mismas a favor del Consorcio, </w:t>
      </w:r>
      <w:r>
        <w:rPr>
          <w:rFonts w:ascii="AytoRoquetas Light Condensed" w:eastAsia="Times New Roman" w:hAnsi="AytoRoquetas Light Condensed" w:cs="Arial"/>
          <w:i/>
          <w:iCs/>
        </w:rPr>
        <w:lastRenderedPageBreak/>
        <w:t>referidos a fin de ejercicio y agrupados por nombre o razón social de la entidad bancaria. En caso de discrepancia entre los saldos contables y los bancarios, se aportará el oportuno estado conciliatorio.</w:t>
      </w:r>
    </w:p>
    <w:p w14:paraId="649194C1" w14:textId="21E0BF57" w:rsidR="00682E7A" w:rsidRDefault="00682E7A" w:rsidP="00682E7A">
      <w:pPr>
        <w:widowControl w:val="0"/>
        <w:ind w:left="24" w:firstLine="685"/>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S</w:t>
      </w:r>
      <w:r w:rsidR="00E976AD">
        <w:rPr>
          <w:rFonts w:ascii="AytoRoquetas Light Condensed" w:eastAsia="Times New Roman" w:hAnsi="AytoRoquetas Light Condensed" w:cs="Arial"/>
          <w:b/>
          <w:bCs/>
          <w:i/>
          <w:iCs/>
        </w:rPr>
        <w:t>EXTO</w:t>
      </w:r>
      <w:r>
        <w:rPr>
          <w:rFonts w:ascii="AytoRoquetas Light Condensed" w:eastAsia="Times New Roman" w:hAnsi="AytoRoquetas Light Condensed" w:cs="Arial"/>
          <w:b/>
          <w:bCs/>
          <w:i/>
          <w:iCs/>
        </w:rPr>
        <w:t>.</w:t>
      </w:r>
      <w:r>
        <w:rPr>
          <w:rFonts w:ascii="AytoRoquetas Light Condensed" w:eastAsia="Times New Roman" w:hAnsi="AytoRoquetas Light Condensed" w:cs="Arial"/>
          <w:i/>
          <w:iCs/>
        </w:rPr>
        <w:t xml:space="preserve"> La aprobación de la Cuenta General es un acto esencial para la fiscalización por parte de los órganos de control externo y que no requiere de la conformidad de los obligados a su rendición, y que no genera responsabilidad por razón de las mismas, en base a la Regla 50 de la de la Orden HAP/1781/2013, de 20 de septiembre, por la que se aprueba la Instrucción del Modelo Normal de Contabilidad Local.</w:t>
      </w:r>
    </w:p>
    <w:p w14:paraId="400492A5" w14:textId="284F3E7E" w:rsidR="00682E7A" w:rsidRDefault="00E976AD" w:rsidP="00682E7A">
      <w:pPr>
        <w:ind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i/>
          <w:iCs/>
        </w:rPr>
        <w:t>SÉPTIMO</w:t>
      </w:r>
      <w:r w:rsidR="00682E7A">
        <w:rPr>
          <w:rFonts w:ascii="AytoRoquetas Light Condensed" w:eastAsia="Times New Roman" w:hAnsi="AytoRoquetas Light Condensed" w:cs="Arial"/>
          <w:b/>
          <w:i/>
          <w:iCs/>
        </w:rPr>
        <w:t>.</w:t>
      </w:r>
      <w:r w:rsidR="00682E7A">
        <w:rPr>
          <w:rFonts w:ascii="AytoRoquetas Light Condensed" w:eastAsia="Times New Roman" w:hAnsi="AytoRoquetas Light Condensed" w:cs="Arial"/>
          <w:i/>
          <w:iCs/>
        </w:rPr>
        <w:t xml:space="preserve"> Se adjunta al presente informe de Intervención, el Balance, la Cuenta del Resultado económico-patrimonial, el Estado de cambios en el patrimonio neto, el Estado de flujos de efectivo, el Estado de liquidación del Presupuesto y la Memoria, según los Modelos y con el contenido regulado en la Tercera parte «Cuentas Anuales» del Anexo de la Orden HAP/1781/2013, de 20 de septiembre, por la que se aprueba la Instrucción del Modelo Normal de Contabilidad Local.</w:t>
      </w:r>
    </w:p>
    <w:p w14:paraId="0A7A9850" w14:textId="77777777" w:rsidR="00682E7A" w:rsidRDefault="00682E7A" w:rsidP="00682E7A">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Conforme a lo establecido en la REGLA 48.1 C) de la Orden HAP/1781/2013, de 20 de septiembre, por la que se aprueba la Instrucción del modelo normal de contabilidad local, a la Cuenta General se acompañarán “Las cuentas anuales de aquellas unidades dependientes de la entidad local incluidas en el ámbito de aplicación de la Ley orgánica 2/2012, de 27 de abril, de Estabilidad Presupuestaria y Sostenibilidad Financiera”.</w:t>
      </w:r>
      <w:r>
        <w:rPr>
          <w:rFonts w:ascii="AytoRoquetas Light Condensed" w:eastAsia="Times New Roman" w:hAnsi="AytoRoquetas Light Condensed" w:cs="Arial"/>
          <w:b/>
          <w:bCs/>
          <w:i/>
          <w:iCs/>
        </w:rPr>
        <w:t xml:space="preserve">  </w:t>
      </w:r>
      <w:r>
        <w:rPr>
          <w:rFonts w:ascii="AytoRoquetas Light Condensed" w:eastAsia="Times New Roman" w:hAnsi="AytoRoquetas Light Condensed" w:cs="Arial"/>
          <w:i/>
          <w:iCs/>
        </w:rPr>
        <w:t>Se deberá remitir una vez aprobada definitivamente la Cuenta General del Consorcio al Ayuntamiento de Roquetas de Mar, para completar y remitir a la Cámara de Cuentas.</w:t>
      </w:r>
    </w:p>
    <w:p w14:paraId="1C31FCC5" w14:textId="0902B03F" w:rsidR="00682E7A" w:rsidRDefault="00E976AD" w:rsidP="00682E7A">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b/>
          <w:i/>
          <w:iCs/>
        </w:rPr>
        <w:t>OCTAVO</w:t>
      </w:r>
      <w:r w:rsidR="00682E7A">
        <w:rPr>
          <w:rFonts w:ascii="AytoRoquetas Light Condensed" w:eastAsia="Times New Roman" w:hAnsi="AytoRoquetas Light Condensed" w:cs="Arial"/>
          <w:b/>
          <w:i/>
          <w:iCs/>
        </w:rPr>
        <w:t>.</w:t>
      </w:r>
      <w:r w:rsidR="00682E7A">
        <w:rPr>
          <w:rFonts w:ascii="AytoRoquetas Light Condensed" w:eastAsia="Times New Roman" w:hAnsi="AytoRoquetas Light Condensed" w:cs="Arial"/>
          <w:i/>
          <w:iCs/>
        </w:rPr>
        <w:t xml:space="preserve"> Una vez formada y analizada la Cuenta General del ejercicio 2022, se procede al análisis y evaluación de las conclusiones y recomendaciones, de forma que se lleve a cabo una planificación del trabajo a realizar para implementar dichas recomendaciones.</w:t>
      </w:r>
    </w:p>
    <w:p w14:paraId="44BAE4E3" w14:textId="77777777" w:rsidR="00682E7A" w:rsidRDefault="00682E7A" w:rsidP="00682E7A">
      <w:pPr>
        <w:jc w:val="both"/>
        <w:rPr>
          <w:rFonts w:ascii="AytoRoquetas Light Condensed" w:eastAsia="Times New Roman" w:hAnsi="AytoRoquetas Light Condensed" w:cs="Arial"/>
          <w:i/>
          <w:iCs/>
        </w:rPr>
      </w:pPr>
    </w:p>
    <w:p w14:paraId="50EBB1B4" w14:textId="77777777" w:rsidR="00682E7A" w:rsidRDefault="00682E7A" w:rsidP="00682E7A">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El Consorcio deberán remitir al Ayuntamiento de Roquetas de Mar una vez aprobada la Cuenta General para su incorporación y remisión a la Cámara de Cuentas- </w:t>
      </w:r>
    </w:p>
    <w:p w14:paraId="7D0D2D0A" w14:textId="77777777" w:rsidR="00682E7A" w:rsidRDefault="00682E7A" w:rsidP="00682E7A">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14:paraId="7D85D2FD" w14:textId="77777777" w:rsidR="00682E7A" w:rsidRDefault="00682E7A" w:rsidP="00682E7A">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El Consorcio no dispone de un inventario de bienes, lo cual impide un adecuado registro contable del área de inmovilizado, al no poderse identificar, ni valorar los bienes y derechos que posee el Consorcio. </w:t>
      </w:r>
    </w:p>
    <w:p w14:paraId="62F59A4C" w14:textId="77777777" w:rsidR="00682E7A" w:rsidRDefault="00682E7A" w:rsidP="00682E7A">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lastRenderedPageBreak/>
        <w:t xml:space="preserve">El Consorcio no posee más ingresos que los de carácter patrimonial procedentes del canon que las propias concesionarias abonan; asimismo se ha de concluir que las ordenanzas de ingresos, que están siendo aplicadas no tienen un seguimiento adecuado en cuanto a la recaudación obtenida por parte de las diferentes entidades consorciadas en sus respectivos ámbitos. </w:t>
      </w:r>
    </w:p>
    <w:p w14:paraId="032D3945" w14:textId="77777777" w:rsidR="00682E7A" w:rsidRDefault="00682E7A" w:rsidP="00682E7A">
      <w:pPr>
        <w:autoSpaceDE/>
        <w:autoSpaceDN/>
        <w:adjustRightInd/>
        <w:spacing w:after="0"/>
        <w:ind w:left="1080"/>
        <w:contextualSpacing/>
        <w:jc w:val="both"/>
        <w:rPr>
          <w:rFonts w:ascii="AytoRoquetas Light Condensed" w:eastAsia="Times New Roman" w:hAnsi="AytoRoquetas Light Condensed" w:cs="Arial"/>
          <w:i/>
          <w:iCs/>
        </w:rPr>
      </w:pPr>
    </w:p>
    <w:p w14:paraId="78FAAF81" w14:textId="77777777" w:rsidR="00682E7A" w:rsidRDefault="00682E7A" w:rsidP="00682E7A">
      <w:pPr>
        <w:numPr>
          <w:ilvl w:val="0"/>
          <w:numId w:val="2"/>
        </w:numPr>
        <w:autoSpaceDE/>
        <w:autoSpaceDN/>
        <w:adjustRightInd/>
        <w:spacing w:after="0"/>
        <w:contextualSpacing/>
        <w:jc w:val="both"/>
        <w:rPr>
          <w:rFonts w:ascii="AytoRoquetas Light Condensed" w:eastAsia="Times New Roman" w:hAnsi="AytoRoquetas Light Condensed" w:cs="Arial"/>
          <w:i/>
          <w:iCs/>
        </w:rPr>
      </w:pPr>
      <w:r w:rsidRPr="00D321B5">
        <w:rPr>
          <w:rFonts w:ascii="AytoRoquetas Light Condensed" w:eastAsia="Times New Roman" w:hAnsi="AytoRoquetas Light Condensed" w:cs="Arial"/>
          <w:i/>
          <w:iCs/>
        </w:rPr>
        <w:t>El Consorcio no dispone de más recursos humanos que los necesarios para prestar los servicios de Tesorería, Intervención y Secretaría, no disponiendo de otro personal que directa o indirectamente gestione el servicio púbico y efectúe el seguimiento y control de las concesionarias. Carece de sentido, en atención a los principios de eficacia y eficiencia del gasto público la creación de una Entidad que no posee recursos para cumplir con sus fines, por lo que se recomienda su transformación en Mancomunidad que preste los servicios de los tres Consorcios adscritos a este Ayuntamiento, tal como se recomienda mediante Decreto de 30 de junio de 2020, del Sr. Alcalde de Roquetas de Mar, notificado a los</w:t>
      </w:r>
      <w:r>
        <w:rPr>
          <w:rFonts w:ascii="AytoRoquetas Light Condensed" w:hAnsi="AytoRoquetas Light Condensed" w:cs="Arial"/>
          <w:i/>
          <w:iCs/>
        </w:rPr>
        <w:t xml:space="preserve"> </w:t>
      </w:r>
      <w:r>
        <w:rPr>
          <w:rFonts w:ascii="AytoRoquetas Light Condensed" w:eastAsia="Times New Roman" w:hAnsi="AytoRoquetas Light Condensed" w:cs="Arial"/>
          <w:i/>
          <w:iCs/>
        </w:rPr>
        <w:t xml:space="preserve">Presidentes de cada de los tres Consorcios, extremo éste que ya fue puesto de manifiesto por la Intervención con motivo de la aprobación de la Cuenta General del Consorcio correspondiente a los ejercicios 2020 y 2021. </w:t>
      </w:r>
    </w:p>
    <w:p w14:paraId="442BE4D9" w14:textId="77777777" w:rsidR="00682E7A" w:rsidRDefault="00682E7A" w:rsidP="00682E7A">
      <w:pPr>
        <w:ind w:left="1080"/>
        <w:contextualSpacing/>
        <w:jc w:val="both"/>
        <w:rPr>
          <w:rFonts w:ascii="AytoRoquetas Light Condensed" w:eastAsia="Times New Roman" w:hAnsi="AytoRoquetas Light Condensed" w:cs="Arial"/>
          <w:i/>
          <w:iCs/>
        </w:rPr>
      </w:pPr>
    </w:p>
    <w:p w14:paraId="62F7227C" w14:textId="77777777" w:rsidR="00682E7A" w:rsidRDefault="00682E7A" w:rsidP="00682E7A">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En base a lo expuesto, desde la Intervención Municipal, como órgano de fiscalización interno de la gestión económico-financiera y presupuestaria, y una vez que ha sido examinada la Cuenta General, se emite este informe con las incidencias observadas y manifestadas en el mismo.</w:t>
      </w:r>
    </w:p>
    <w:p w14:paraId="3DF2DE17" w14:textId="77777777" w:rsidR="00682E7A" w:rsidRDefault="00682E7A" w:rsidP="00682E7A">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Asimismo, es necesario concluir:</w:t>
      </w:r>
    </w:p>
    <w:p w14:paraId="293EF98A" w14:textId="77777777" w:rsidR="00682E7A" w:rsidRDefault="00682E7A" w:rsidP="00682E7A">
      <w:pPr>
        <w:numPr>
          <w:ilvl w:val="0"/>
          <w:numId w:val="3"/>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Que se remiten todos los Estados Contables y la documentación complementaria exigidas por la normativa vigente.</w:t>
      </w:r>
    </w:p>
    <w:p w14:paraId="6FF7ED29" w14:textId="77777777" w:rsidR="00682E7A" w:rsidRDefault="00682E7A" w:rsidP="00682E7A">
      <w:pPr>
        <w:numPr>
          <w:ilvl w:val="0"/>
          <w:numId w:val="3"/>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Que los expedientes, documentos y libros mencionados en el Título II de la Instrucción de Contabilidad se encuentran a disposición del Tribunal de Cuentas.</w:t>
      </w:r>
    </w:p>
    <w:p w14:paraId="1552296B" w14:textId="77777777" w:rsidR="00682E7A" w:rsidRDefault="00682E7A" w:rsidP="00682E7A">
      <w:pPr>
        <w:ind w:left="709"/>
        <w:jc w:val="both"/>
        <w:rPr>
          <w:rFonts w:ascii="AytoRoquetas Light Condensed" w:eastAsia="Times New Roman" w:hAnsi="AytoRoquetas Light Condensed" w:cs="Arial"/>
          <w:i/>
          <w:iCs/>
        </w:rPr>
      </w:pPr>
    </w:p>
    <w:p w14:paraId="0C0BBA87" w14:textId="77777777" w:rsidR="00682E7A" w:rsidRDefault="00682E7A" w:rsidP="00682E7A">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En virtud de todo lo expuesto en este Informe, </w:t>
      </w:r>
      <w:r>
        <w:rPr>
          <w:rFonts w:ascii="AytoRoquetas Light Condensed" w:eastAsia="Times New Roman" w:hAnsi="AytoRoquetas Light Condensed" w:cs="Arial"/>
          <w:b/>
          <w:bCs/>
          <w:i/>
          <w:iCs/>
          <w:u w:val="single"/>
        </w:rPr>
        <w:t>procede tramitar la Cuenta General del Consorcio correspondientes al ejercicio 2021</w:t>
      </w:r>
      <w:r>
        <w:rPr>
          <w:rFonts w:ascii="AytoRoquetas Light Condensed" w:eastAsia="Times New Roman" w:hAnsi="AytoRoquetas Light Condensed" w:cs="Arial"/>
          <w:i/>
          <w:iCs/>
        </w:rPr>
        <w:t>.</w:t>
      </w:r>
    </w:p>
    <w:p w14:paraId="38FF798D" w14:textId="77777777" w:rsidR="00682E7A" w:rsidRDefault="00682E7A" w:rsidP="00682E7A">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Es cuanto tengo el honor de informar, sin perjuicio de cualquier otra consideración mejor fundada en derecho.”</w:t>
      </w:r>
      <w:bookmarkStart w:id="1" w:name="_Hlk174962947"/>
      <w:bookmarkEnd w:id="1"/>
    </w:p>
    <w:p w14:paraId="586535A1" w14:textId="77777777" w:rsidR="00682E7A" w:rsidRPr="00D321B5" w:rsidRDefault="00682E7A" w:rsidP="00682E7A">
      <w:pPr>
        <w:pStyle w:val="Formatolibre"/>
        <w:spacing w:line="276" w:lineRule="auto"/>
        <w:ind w:firstLine="708"/>
        <w:jc w:val="both"/>
        <w:rPr>
          <w:rFonts w:ascii="AytoRoquetas Light Condensed" w:eastAsia="Times New Roman" w:hAnsi="AytoRoquetas Light Condensed"/>
          <w:bCs/>
          <w:color w:val="auto"/>
          <w:sz w:val="22"/>
          <w:szCs w:val="22"/>
          <w:lang w:val="es-ES"/>
        </w:rPr>
      </w:pPr>
      <w:r>
        <w:rPr>
          <w:rFonts w:ascii="AytoRoquetas Light Condensed" w:eastAsia="Times New Roman" w:hAnsi="AytoRoquetas Light Condensed"/>
          <w:bCs/>
          <w:color w:val="auto"/>
          <w:sz w:val="22"/>
          <w:szCs w:val="22"/>
          <w:lang w:val="es-ES"/>
        </w:rPr>
        <w:t xml:space="preserve">Tras una breve intervención de la Sra. Interventora del Consorcio para explicar el contenido de la proposición, La JUNTA GENERAL una vez transcurrido el plazo de exposición pública y no habiéndose producido ninguna observación ni reclamación (B.O.P. de Almería Núm. 248 de 30 de diciembre de 2023), ha resuelto por unanimidad de los miembros asistentes APROBAR la Cuenta General del ejercicio 2022. </w:t>
      </w:r>
    </w:p>
    <w:p w14:paraId="221BC376" w14:textId="77777777" w:rsidR="00682E7A" w:rsidRPr="003645B5" w:rsidRDefault="00682E7A" w:rsidP="00682E7A">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lastRenderedPageBreak/>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1E26457C" w14:textId="77777777" w:rsidR="00682E7A" w:rsidRPr="003645B5" w:rsidRDefault="00682E7A" w:rsidP="00682E7A">
      <w:pPr>
        <w:spacing w:after="0" w:line="288" w:lineRule="auto"/>
        <w:contextualSpacing/>
        <w:jc w:val="both"/>
        <w:rPr>
          <w:rFonts w:ascii="AytoRoquetas Light Condensed" w:hAnsi="AytoRoquetas Light Condensed"/>
          <w:szCs w:val="20"/>
        </w:rPr>
      </w:pPr>
    </w:p>
    <w:p w14:paraId="3D4461B1" w14:textId="77777777" w:rsidR="00682E7A" w:rsidRPr="003645B5" w:rsidRDefault="00682E7A" w:rsidP="00682E7A">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534D6182" w14:textId="3BE6EC04" w:rsidR="00682E7A" w:rsidRDefault="00682E7A" w:rsidP="00682E7A">
      <w:pPr>
        <w:autoSpaceDE/>
        <w:autoSpaceDN/>
        <w:adjustRightInd/>
        <w:spacing w:after="0"/>
        <w:ind w:left="1080"/>
        <w:contextualSpacing/>
        <w:jc w:val="both"/>
        <w:rPr>
          <w:rFonts w:ascii="AytoRoquetas Light Condensed" w:eastAsia="Times New Roman" w:hAnsi="AytoRoquetas Light Condensed" w:cs="Arial"/>
          <w:i/>
          <w:iCs/>
        </w:rPr>
      </w:pPr>
    </w:p>
    <w:p w14:paraId="74632BD3" w14:textId="11FC2594" w:rsidR="009273E7" w:rsidRDefault="009273E7">
      <w:pPr>
        <w:spacing w:line="288" w:lineRule="auto"/>
        <w:ind w:firstLine="1134"/>
        <w:jc w:val="both"/>
        <w:rPr>
          <w:rFonts w:ascii="AytoRoquetas Light Condensed" w:hAnsi="AytoRoquetas Light Condensed" w:cs="AytoRoquetas Light Condensed"/>
          <w:sz w:val="20"/>
          <w:szCs w:val="20"/>
        </w:rPr>
      </w:pPr>
    </w:p>
    <w:sectPr w:rsidR="009273E7">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32BDD" w14:textId="77777777" w:rsidR="00682E7A" w:rsidRDefault="00682E7A">
      <w:pPr>
        <w:spacing w:after="0" w:line="240" w:lineRule="auto"/>
      </w:pPr>
      <w:r>
        <w:separator/>
      </w:r>
    </w:p>
  </w:endnote>
  <w:endnote w:type="continuationSeparator" w:id="0">
    <w:p w14:paraId="74632BDF" w14:textId="77777777" w:rsidR="00682E7A" w:rsidRDefault="00682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32BD8" w14:textId="77777777" w:rsidR="009273E7" w:rsidRDefault="00682E7A">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32BD9" w14:textId="77777777" w:rsidR="00682E7A" w:rsidRDefault="00682E7A">
      <w:pPr>
        <w:spacing w:after="0" w:line="240" w:lineRule="auto"/>
      </w:pPr>
      <w:r>
        <w:separator/>
      </w:r>
    </w:p>
  </w:footnote>
  <w:footnote w:type="continuationSeparator" w:id="0">
    <w:p w14:paraId="74632BDB" w14:textId="77777777" w:rsidR="00682E7A" w:rsidRDefault="00682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32BD4" w14:textId="77777777" w:rsidR="009273E7" w:rsidRDefault="00E976AD">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74632BD9">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74632BDB" w14:textId="77777777" w:rsidR="009273E7" w:rsidRDefault="00682E7A">
                <w:pPr>
                  <w:spacing w:after="0" w:line="240" w:lineRule="atLeast"/>
                  <w:rPr>
                    <w:color w:val="1D8FC7"/>
                    <w:sz w:val="16"/>
                    <w:szCs w:val="16"/>
                  </w:rPr>
                </w:pPr>
                <w:r>
                  <w:rPr>
                    <w:color w:val="1D8FC7"/>
                    <w:sz w:val="16"/>
                    <w:szCs w:val="16"/>
                  </w:rPr>
                  <w:t>Plaza de la Constitución, 1</w:t>
                </w:r>
              </w:p>
              <w:p w14:paraId="74632BDC" w14:textId="77777777" w:rsidR="009273E7" w:rsidRDefault="00682E7A">
                <w:pPr>
                  <w:spacing w:after="0" w:line="240" w:lineRule="atLeast"/>
                  <w:rPr>
                    <w:color w:val="1D8FC7"/>
                    <w:sz w:val="16"/>
                    <w:szCs w:val="16"/>
                  </w:rPr>
                </w:pPr>
                <w:r>
                  <w:rPr>
                    <w:color w:val="1D8FC7"/>
                    <w:sz w:val="16"/>
                    <w:szCs w:val="16"/>
                  </w:rPr>
                  <w:t>04740 Roquetas de Mar, Almería</w:t>
                </w:r>
              </w:p>
              <w:p w14:paraId="74632BDD" w14:textId="77777777" w:rsidR="009273E7" w:rsidRDefault="00682E7A">
                <w:pPr>
                  <w:spacing w:after="0" w:line="240" w:lineRule="atLeast"/>
                  <w:rPr>
                    <w:color w:val="1D8FC7"/>
                    <w:sz w:val="16"/>
                    <w:szCs w:val="16"/>
                  </w:rPr>
                </w:pPr>
                <w:r>
                  <w:rPr>
                    <w:color w:val="1D8FC7"/>
                    <w:sz w:val="16"/>
                    <w:szCs w:val="16"/>
                  </w:rPr>
                  <w:t>Tels.: 950 33 85 85 – 950 33 86 19</w:t>
                </w:r>
              </w:p>
              <w:p w14:paraId="74632BDE" w14:textId="77777777" w:rsidR="009273E7" w:rsidRDefault="00682E7A">
                <w:pPr>
                  <w:spacing w:after="0" w:line="240" w:lineRule="atLeast"/>
                  <w:rPr>
                    <w:color w:val="1D8FC7"/>
                    <w:sz w:val="16"/>
                    <w:szCs w:val="16"/>
                  </w:rPr>
                </w:pPr>
                <w:r>
                  <w:rPr>
                    <w:color w:val="1D8FC7"/>
                    <w:sz w:val="16"/>
                    <w:szCs w:val="16"/>
                  </w:rPr>
                  <w:t>Fax: 950 32 15 14</w:t>
                </w:r>
              </w:p>
            </w:txbxContent>
          </v:textbox>
          <w10:wrap type="square"/>
        </v:shape>
      </w:pict>
    </w:r>
    <w:r w:rsidR="00682E7A">
      <w:rPr>
        <w:rFonts w:ascii="Times New Roman" w:hAnsi="Times New Roman" w:cs="Times New Roman"/>
        <w:sz w:val="16"/>
        <w:szCs w:val="16"/>
      </w:rPr>
      <w:tab/>
    </w:r>
  </w:p>
  <w:p w14:paraId="74632BD5" w14:textId="77777777" w:rsidR="009273E7" w:rsidRDefault="00E976AD">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74632B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74632BD6" w14:textId="77777777" w:rsidR="009273E7" w:rsidRDefault="009273E7">
    <w:pPr>
      <w:pStyle w:val="Encabezado28"/>
      <w:rPr>
        <w:rFonts w:ascii="AytoRoquetas Light Condensed" w:hAnsi="AytoRoquetas Light Condensed" w:cs="AytoRoquetas Light Condensed"/>
      </w:rPr>
    </w:pPr>
  </w:p>
  <w:p w14:paraId="74632BD7" w14:textId="77777777" w:rsidR="009273E7" w:rsidRDefault="009273E7">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676498934">
    <w:abstractNumId w:val="0"/>
  </w:num>
  <w:num w:numId="2" w16cid:durableId="2082866343">
    <w:abstractNumId w:val="1"/>
  </w:num>
  <w:num w:numId="3" w16cid:durableId="1212959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273E7"/>
    <w:rsid w:val="005A24F2"/>
    <w:rsid w:val="00616466"/>
    <w:rsid w:val="00682E7A"/>
    <w:rsid w:val="009273E7"/>
    <w:rsid w:val="00E976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4632BC5"/>
  <w15:docId w15:val="{C6D7D2E4-0C85-4E22-AD69-81014EE9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Default">
    <w:name w:val="Default"/>
    <w:rsid w:val="00682E7A"/>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682E7A"/>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682E7A"/>
    <w:rPr>
      <w:rFonts w:ascii="Times New Roman" w:eastAsia="Times New Roman" w:hAnsi="Times New Roman" w:cs="Times New Roman"/>
      <w:b/>
      <w:sz w:val="24"/>
      <w:lang w:eastAsia="es-ES"/>
    </w:rPr>
  </w:style>
  <w:style w:type="paragraph" w:customStyle="1" w:styleId="Formatolibre">
    <w:name w:val="Formato libre"/>
    <w:qFormat/>
    <w:rsid w:val="00682E7A"/>
    <w:pPr>
      <w:suppressAutoHyphens/>
    </w:pPr>
    <w:rPr>
      <w:rFonts w:ascii="Helvetica" w:eastAsia="ヒラギノ角ゴ Pro W3" w:hAnsi="Helvetica" w:cs="Times New Roman"/>
      <w:color w:val="00000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1988</Words>
  <Characters>10940</Characters>
  <Application>Microsoft Office Word</Application>
  <DocSecurity>0</DocSecurity>
  <Lines>91</Lines>
  <Paragraphs>25</Paragraphs>
  <ScaleCrop>false</ScaleCrop>
  <Company/>
  <LinksUpToDate>false</LinksUpToDate>
  <CharactersWithSpaces>12903</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2</cp:revision>
  <dcterms:created xsi:type="dcterms:W3CDTF">2024-09-13T08:33:00Z</dcterms:created>
  <dcterms:modified xsi:type="dcterms:W3CDTF">2024-09-13T09:57:00Z</dcterms:modified>
</cp:coreProperties>
</file>