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ECC84" w14:textId="77777777" w:rsidR="00BB290D" w:rsidRPr="003645B5" w:rsidRDefault="00BB290D" w:rsidP="00BB290D">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AA8A2AB" w14:textId="77777777" w:rsidR="00BB290D" w:rsidRPr="003645B5" w:rsidRDefault="00BB290D" w:rsidP="00BB290D">
      <w:pPr>
        <w:pStyle w:val="Default"/>
        <w:spacing w:line="288" w:lineRule="auto"/>
        <w:contextualSpacing/>
        <w:jc w:val="both"/>
        <w:rPr>
          <w:color w:val="auto"/>
          <w:sz w:val="22"/>
          <w:szCs w:val="22"/>
        </w:rPr>
      </w:pPr>
    </w:p>
    <w:p w14:paraId="4275553C" w14:textId="77777777" w:rsidR="00BB290D" w:rsidRPr="003645B5" w:rsidRDefault="00BB290D" w:rsidP="00BB290D">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2A53B3D8" w14:textId="77777777" w:rsidR="00BB290D" w:rsidRDefault="00BB290D" w:rsidP="00BB290D">
      <w:pPr>
        <w:pStyle w:val="Textoindependiente"/>
        <w:spacing w:line="288" w:lineRule="auto"/>
        <w:contextualSpacing/>
        <w:rPr>
          <w:rFonts w:ascii="AytoRoquetas Light Condensed" w:eastAsia="Georgia" w:hAnsi="AytoRoquetas Light Condensed" w:cs="Georgia"/>
          <w:b w:val="0"/>
          <w:sz w:val="22"/>
          <w:szCs w:val="22"/>
          <w:lang w:eastAsia="en-US"/>
        </w:rPr>
      </w:pPr>
    </w:p>
    <w:p w14:paraId="1439F1E2" w14:textId="77777777" w:rsidR="00BB290D" w:rsidRPr="003645B5" w:rsidRDefault="00BB290D" w:rsidP="00BB290D">
      <w:pPr>
        <w:pStyle w:val="Textoindependiente"/>
        <w:spacing w:line="288" w:lineRule="auto"/>
        <w:contextualSpacing/>
        <w:rPr>
          <w:rFonts w:ascii="AytoRoquetas Light Condensed" w:eastAsia="Georgia" w:hAnsi="AytoRoquetas Light Condensed" w:cs="Georgia"/>
          <w:b w:val="0"/>
          <w:sz w:val="22"/>
          <w:szCs w:val="22"/>
          <w:lang w:eastAsia="en-US"/>
        </w:rPr>
      </w:pPr>
    </w:p>
    <w:p w14:paraId="68271F29" w14:textId="77777777" w:rsidR="00BB290D" w:rsidRDefault="00BB290D" w:rsidP="00BB290D">
      <w:pPr>
        <w:pStyle w:val="Formatolibre"/>
        <w:spacing w:line="276" w:lineRule="auto"/>
        <w:jc w:val="both"/>
        <w:rPr>
          <w:rFonts w:ascii="AytoRoquetas Light Condensed" w:eastAsia="Times New Roman" w:hAnsi="AytoRoquetas Light Condensed"/>
          <w:b/>
          <w:color w:val="auto"/>
          <w:sz w:val="26"/>
          <w:szCs w:val="26"/>
          <w:lang w:val="es-ES"/>
        </w:rPr>
      </w:pPr>
      <w:r>
        <w:rPr>
          <w:rFonts w:ascii="AytoRoquetas Light Condensed" w:hAnsi="AytoRoquetas Light Condensed"/>
          <w:b/>
          <w:bCs/>
          <w:sz w:val="22"/>
          <w:lang w:val="es-ES"/>
        </w:rPr>
        <w:t>6</w:t>
      </w:r>
      <w:r w:rsidRPr="001F2BFC">
        <w:rPr>
          <w:rFonts w:ascii="AytoRoquetas Light Condensed" w:hAnsi="AytoRoquetas Light Condensed"/>
          <w:b/>
          <w:bCs/>
          <w:sz w:val="22"/>
          <w:lang w:val="es-ES"/>
        </w:rPr>
        <w:t>.</w:t>
      </w:r>
      <w:r>
        <w:rPr>
          <w:rFonts w:ascii="AytoRoquetas Light Condensed" w:hAnsi="AytoRoquetas Light Condensed"/>
          <w:b/>
          <w:bCs/>
          <w:sz w:val="22"/>
          <w:lang w:val="es-ES"/>
        </w:rPr>
        <w:t>2</w:t>
      </w:r>
      <w:r>
        <w:rPr>
          <w:rFonts w:ascii="AytoRoquetas Light Condensed" w:hAnsi="AytoRoquetas Light Condensed"/>
          <w:sz w:val="22"/>
          <w:lang w:val="es-ES"/>
        </w:rPr>
        <w:t xml:space="preserve"> </w:t>
      </w:r>
      <w:r>
        <w:rPr>
          <w:rFonts w:ascii="AytoRoquetas Light Condensed" w:eastAsia="Times New Roman" w:hAnsi="AytoRoquetas Light Condensed"/>
          <w:b/>
          <w:color w:val="auto"/>
          <w:sz w:val="26"/>
          <w:szCs w:val="26"/>
        </w:rPr>
        <w:t>Proposición de Aprobación inicial de la Cuenta General en el año 2023</w:t>
      </w:r>
      <w:r>
        <w:rPr>
          <w:rFonts w:ascii="AytoRoquetas Light Condensed" w:eastAsia="Times New Roman" w:hAnsi="AytoRoquetas Light Condensed"/>
          <w:b/>
          <w:color w:val="auto"/>
          <w:sz w:val="26"/>
          <w:szCs w:val="26"/>
          <w:lang w:val="es-ES"/>
        </w:rPr>
        <w:t>.</w:t>
      </w:r>
    </w:p>
    <w:p w14:paraId="3FE362DA" w14:textId="77777777" w:rsidR="00BB290D" w:rsidRDefault="00BB290D" w:rsidP="00BB290D">
      <w:pPr>
        <w:pStyle w:val="Textoindependiente"/>
        <w:spacing w:line="276" w:lineRule="auto"/>
        <w:rPr>
          <w:rFonts w:ascii="AytoRoquetas Light Condensed" w:hAnsi="AytoRoquetas Light Condensed"/>
          <w:sz w:val="26"/>
          <w:szCs w:val="26"/>
          <w:lang w:val="es-ES"/>
        </w:rPr>
      </w:pPr>
    </w:p>
    <w:p w14:paraId="115421CF" w14:textId="77777777" w:rsidR="00BB290D" w:rsidRDefault="00BB290D" w:rsidP="00BB290D">
      <w:pPr>
        <w:pStyle w:val="Formatolibre"/>
        <w:spacing w:line="276" w:lineRule="auto"/>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Sobre la Cuenta General del ejercicio 2023, se da cuenta del informe de la intervención del Consorcio, de fecha 5 de mayo de 2023:</w:t>
      </w:r>
    </w:p>
    <w:p w14:paraId="63A1C928" w14:textId="77777777" w:rsidR="00BB290D" w:rsidRDefault="00BB290D" w:rsidP="00BB290D">
      <w:pPr>
        <w:pStyle w:val="Formatolibre"/>
        <w:spacing w:line="276" w:lineRule="auto"/>
        <w:jc w:val="both"/>
        <w:rPr>
          <w:rFonts w:ascii="AytoRoquetas Light Condensed" w:eastAsia="Times New Roman" w:hAnsi="AytoRoquetas Light Condensed"/>
          <w:bCs/>
          <w:color w:val="auto"/>
          <w:sz w:val="22"/>
          <w:szCs w:val="22"/>
          <w:lang w:val="es-ES"/>
        </w:rPr>
      </w:pPr>
    </w:p>
    <w:p w14:paraId="50AEDDE5" w14:textId="77777777" w:rsidR="00BB290D" w:rsidRDefault="00BB290D" w:rsidP="00BB290D">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5F837647" w14:textId="77777777" w:rsidR="00BB290D" w:rsidRDefault="00BB290D" w:rsidP="00BB290D">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Al día de la fecha no se encuentra constituido el Consejo de Participación Social por lo que habrá de ser la Junta General del Consorcio quien examine las cuentas, se expongan a información pública y posteriormente apruebe las mismas.</w:t>
      </w:r>
    </w:p>
    <w:p w14:paraId="515D64B3" w14:textId="77777777" w:rsidR="00BB290D" w:rsidRDefault="00BB290D" w:rsidP="00BB290D">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Confeccionados los estados que componen la Cuenta General de la Entidad Local, correspondiente al ejercicio 2023, y una vez llevada a cabo la comprobación y análisis de los mismos, preparada la documentación complementaria exigida por la normativa vigente y una vez aprobada la liquidación del presupuesto del ejercicio 2023, mediante Decreto de Presidencia de 8 de febrero de 2024,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14:paraId="7B682B02" w14:textId="77777777" w:rsidR="00BB290D" w:rsidRDefault="00BB290D" w:rsidP="00BB290D">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57"/>
        <w:jc w:val="center"/>
        <w:rPr>
          <w:rFonts w:ascii="AytoRoquetas Light Condensed" w:eastAsia="Times New Roman" w:hAnsi="AytoRoquetas Light Condensed" w:cs="Arial"/>
          <w:b/>
          <w:bCs/>
          <w:i/>
          <w:iCs/>
        </w:rPr>
      </w:pPr>
    </w:p>
    <w:p w14:paraId="37239BC9" w14:textId="77777777" w:rsidR="00BB290D" w:rsidRDefault="00BB290D" w:rsidP="00BB290D">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57"/>
        <w:jc w:val="center"/>
        <w:rPr>
          <w:rFonts w:ascii="AytoRoquetas Light Condensed" w:eastAsia="Times New Roman" w:hAnsi="AytoRoquetas Light Condensed" w:cs="Arial"/>
          <w:b/>
          <w:bCs/>
          <w:i/>
          <w:iCs/>
        </w:rPr>
      </w:pPr>
    </w:p>
    <w:p w14:paraId="551378E1" w14:textId="4E33DFF5" w:rsidR="00BB290D" w:rsidRDefault="00BB290D" w:rsidP="00BB290D">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57"/>
        <w:jc w:val="center"/>
        <w:rPr>
          <w:rFonts w:ascii="AytoRoquetas Light Condensed" w:eastAsia="Times New Roman" w:hAnsi="AytoRoquetas Light Condensed" w:cs="Arial"/>
          <w:b/>
          <w:bCs/>
          <w:i/>
          <w:iCs/>
        </w:rPr>
      </w:pPr>
      <w:r>
        <w:rPr>
          <w:rFonts w:ascii="AytoRoquetas Light Condensed" w:eastAsia="Times New Roman" w:hAnsi="AytoRoquetas Light Condensed" w:cs="Arial"/>
          <w:b/>
          <w:bCs/>
          <w:i/>
          <w:iCs/>
        </w:rPr>
        <w:t>INFORME</w:t>
      </w:r>
    </w:p>
    <w:p w14:paraId="67112155" w14:textId="77777777" w:rsidR="00BB290D" w:rsidRDefault="00BB290D" w:rsidP="00BB290D">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4" w:right="57"/>
        <w:jc w:val="both"/>
        <w:rPr>
          <w:rFonts w:ascii="AytoRoquetas Light Condensed" w:eastAsia="Times New Roman" w:hAnsi="AytoRoquetas Light Condensed" w:cs="Arial"/>
          <w:i/>
          <w:iCs/>
        </w:rPr>
      </w:pPr>
    </w:p>
    <w:p w14:paraId="1738B2AB" w14:textId="77777777" w:rsidR="00BB290D" w:rsidRDefault="00BB290D" w:rsidP="00BB290D">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3" w:right="57" w:firstLine="685"/>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PRIMERO.</w:t>
      </w:r>
      <w:r>
        <w:rPr>
          <w:rFonts w:ascii="AytoRoquetas Light Condensed" w:eastAsia="Times New Roman" w:hAnsi="AytoRoquetas Light Condensed" w:cs="Arial"/>
          <w:i/>
          <w:iCs/>
        </w:rPr>
        <w:t xml:space="preserve"> La Legislación aplicable es la siguiente:</w:t>
      </w:r>
    </w:p>
    <w:p w14:paraId="752AF61A" w14:textId="77777777" w:rsidR="00BB290D" w:rsidRDefault="00BB290D" w:rsidP="00BB290D">
      <w:pPr>
        <w:spacing w:after="120"/>
        <w:ind w:left="23" w:right="57" w:firstLine="696"/>
        <w:rPr>
          <w:rFonts w:ascii="AytoRoquetas Light Condensed" w:eastAsia="Times New Roman" w:hAnsi="AytoRoquetas Light Condensed" w:cs="Arial"/>
          <w:i/>
          <w:iCs/>
        </w:rPr>
      </w:pPr>
    </w:p>
    <w:p w14:paraId="0C303531" w14:textId="77777777" w:rsidR="00BB290D" w:rsidRDefault="00BB290D" w:rsidP="00BB290D">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Los artículos 22.2 e) y 116 de la Ley 7/1985, de 2 de abril, Reguladora de las Bases del Régimen Local.</w:t>
      </w:r>
    </w:p>
    <w:p w14:paraId="30754216" w14:textId="77777777" w:rsidR="00BB290D" w:rsidRDefault="00BB290D" w:rsidP="00BB290D">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Ley 40/2015, de 1 de octubre, de Régimen Jurídico del Sector Público.</w:t>
      </w:r>
    </w:p>
    <w:p w14:paraId="1D75230E" w14:textId="77777777" w:rsidR="00BB290D" w:rsidRDefault="00BB290D" w:rsidP="00BB290D">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Los artículos 208 a 212 del Texto Refundido de la Ley Reguladora de las Haciendas Locales aprobado por Real Decreto Legislativo 2/2004, de 5 de marzo.</w:t>
      </w:r>
    </w:p>
    <w:p w14:paraId="31CE9A7E" w14:textId="77777777" w:rsidR="00BB290D" w:rsidRDefault="00BB290D" w:rsidP="00BB290D">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artículo 119.3 de la Ley 47/2003, de 26 de noviembre, General Presupuestaria.</w:t>
      </w:r>
    </w:p>
    <w:p w14:paraId="5E099569" w14:textId="77777777" w:rsidR="00BB290D" w:rsidRDefault="00BB290D" w:rsidP="00BB290D">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Las Reglas 44 y siguientes de la Orden HAP/1781/2013, de 20 de septiembre, por la que se aprueba la Instrucción del Modelo Normal de Contabilidad Local.</w:t>
      </w:r>
    </w:p>
    <w:p w14:paraId="30B5BB7B" w14:textId="77777777" w:rsidR="00BB290D" w:rsidRDefault="00BB290D" w:rsidP="00BB290D">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Resolución de 28 de julio de 2006, de la Intervención General de la Administración del Estado, por la que se recomienda un formato normalizado de la cuenta general de las entidades locales en soporte informático que facilite su rendición.</w:t>
      </w:r>
    </w:p>
    <w:p w14:paraId="46E62B76" w14:textId="77777777" w:rsidR="00BB290D" w:rsidRDefault="00BB290D" w:rsidP="00BB290D">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La Orden EHA/3565/2008, de 3 de diciembre, por la que se Aprueba la Estructura de los Presupuestos de las Entidades Locales, modificada por la Orden HAP/419/2014, de 14 de marzo.</w:t>
      </w:r>
    </w:p>
    <w:p w14:paraId="071E162D" w14:textId="77777777" w:rsidR="00BB290D" w:rsidRDefault="00BB290D" w:rsidP="00BB290D">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28457AB1" w14:textId="77777777" w:rsidR="00BB290D" w:rsidRDefault="00BB290D" w:rsidP="00BB290D">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Convenio de 21 de abril de 2015, entre la Cámara de Cuentas de Andalucía y el Tribunal de Cuentas para la coordinación de la rendición telemática de las Cuentas Generales de las entidades locales andaluzas.</w:t>
      </w:r>
    </w:p>
    <w:p w14:paraId="0C809093" w14:textId="77777777" w:rsidR="00BB290D" w:rsidRDefault="00BB290D" w:rsidP="00BB290D">
      <w:pPr>
        <w:widowControl w:val="0"/>
        <w:ind w:firstLine="708"/>
        <w:jc w:val="both"/>
        <w:rPr>
          <w:rFonts w:ascii="AytoRoquetas Light Condensed" w:eastAsia="Times New Roman" w:hAnsi="AytoRoquetas Light Condensed" w:cs="Arial"/>
          <w:b/>
          <w:bCs/>
          <w:i/>
          <w:iCs/>
        </w:rPr>
      </w:pPr>
    </w:p>
    <w:p w14:paraId="3B371AB0"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SEGUNDO.</w:t>
      </w:r>
      <w:r>
        <w:rPr>
          <w:rFonts w:ascii="AytoRoquetas Light Condensed" w:eastAsia="Times New Roman" w:hAnsi="AytoRoquetas Light Condensed" w:cs="Arial"/>
          <w:i/>
          <w:iC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4C07B01F"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0F9221F8" w14:textId="77777777" w:rsidR="00BB290D" w:rsidRDefault="00BB290D" w:rsidP="00BB290D">
      <w:pPr>
        <w:widowControl w:val="0"/>
        <w:ind w:firstLine="708"/>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TERCERO.</w:t>
      </w:r>
      <w:r>
        <w:rPr>
          <w:rFonts w:ascii="AytoRoquetas Light Condensed" w:eastAsia="Times New Roman" w:hAnsi="AytoRoquetas Light Condensed" w:cs="Arial"/>
          <w:i/>
          <w:iC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14:paraId="742DEBA6"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CUARTO.</w:t>
      </w:r>
      <w:r>
        <w:rPr>
          <w:rFonts w:ascii="AytoRoquetas Light Condensed" w:eastAsia="Times New Roman" w:hAnsi="AytoRoquetas Light Condensed" w:cs="Arial"/>
          <w:i/>
          <w:iC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20B6473A"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QUINTO.</w:t>
      </w:r>
      <w:r>
        <w:rPr>
          <w:rFonts w:ascii="AytoRoquetas Light Condensed" w:eastAsia="Times New Roman" w:hAnsi="AytoRoquetas Light Condensed" w:cs="Arial"/>
          <w:i/>
          <w:iCs/>
        </w:rPr>
        <w:t xml:space="preserve"> Las cuentas anuales que integran la Cuenta de la propia entidad son las siguientes:</w:t>
      </w:r>
    </w:p>
    <w:p w14:paraId="0BD742BB"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 El Balance.</w:t>
      </w:r>
    </w:p>
    <w:p w14:paraId="5C27BE6C"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b) La Cuenta del resultado económico-patrimonial.</w:t>
      </w:r>
    </w:p>
    <w:p w14:paraId="7BC121CD"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 El Estado de cambios en el patrimonio neto.</w:t>
      </w:r>
    </w:p>
    <w:p w14:paraId="3B3ABD3E"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d) El Estado de flujos de efectivo.</w:t>
      </w:r>
    </w:p>
    <w:p w14:paraId="577AD275"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 El Estado de Liquidación del Presupuesto.</w:t>
      </w:r>
    </w:p>
    <w:p w14:paraId="1DE8B1AA"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f) La Memoria.</w:t>
      </w:r>
    </w:p>
    <w:p w14:paraId="02F49476" w14:textId="77777777" w:rsidR="00BB290D" w:rsidRDefault="00BB290D" w:rsidP="00BB290D">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 las cuentas anuales del Consorcio deberá unirse la siguiente documentación:</w:t>
      </w:r>
    </w:p>
    <w:p w14:paraId="7BF03434" w14:textId="77777777" w:rsidR="00BB290D" w:rsidRDefault="00BB290D" w:rsidP="00BB290D">
      <w:pPr>
        <w:numPr>
          <w:ilvl w:val="0"/>
          <w:numId w:val="1"/>
        </w:numPr>
        <w:autoSpaceDE/>
        <w:autoSpaceDN/>
        <w:adjustRightInd/>
        <w:spacing w:after="0"/>
        <w:ind w:right="57"/>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Actas de arqueo de las existencias en Caja referidas a fin de ejercicio. </w:t>
      </w:r>
    </w:p>
    <w:p w14:paraId="490F97B8" w14:textId="77777777" w:rsidR="00BB290D" w:rsidRDefault="00BB290D" w:rsidP="00BB290D">
      <w:pPr>
        <w:ind w:right="57"/>
        <w:jc w:val="both"/>
        <w:rPr>
          <w:rFonts w:ascii="AytoRoquetas Light Condensed" w:eastAsia="Times New Roman" w:hAnsi="AytoRoquetas Light Condensed" w:cs="Arial"/>
          <w:i/>
          <w:iCs/>
        </w:rPr>
      </w:pPr>
    </w:p>
    <w:p w14:paraId="763C3CBE" w14:textId="77777777" w:rsidR="00BB290D" w:rsidRDefault="00BB290D" w:rsidP="00BB290D">
      <w:pPr>
        <w:ind w:right="57"/>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b/>
        <w:t>El Acta de arqueo sólo ha de incluir las existencias en Caja a fin de ejercicio, y su comprobación con los datos que arroja la contabilidad. No forman parte del Acta de Arqueo las existencias en cuentas abiertas en entidades de crédito.</w:t>
      </w:r>
    </w:p>
    <w:p w14:paraId="00DED375" w14:textId="77777777" w:rsidR="00BB290D" w:rsidRDefault="00BB290D" w:rsidP="00BB290D">
      <w:pPr>
        <w:ind w:right="57"/>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b/>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w:t>
      </w:r>
      <w:r>
        <w:rPr>
          <w:rFonts w:ascii="AytoRoquetas Light Condensed" w:eastAsia="Times New Roman" w:hAnsi="AytoRoquetas Light Condensed" w:cs="Arial"/>
          <w:i/>
          <w:iCs/>
        </w:rPr>
        <w:t xml:space="preserve"> </w:t>
      </w:r>
      <w:r>
        <w:rPr>
          <w:rFonts w:ascii="AytoRoquetas Light Condensed" w:eastAsia="Times New Roman" w:hAnsi="AytoRoquetas Light Condensed" w:cs="Arial"/>
          <w:i/>
          <w:iCs/>
        </w:rPr>
        <w:t>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7F62D69D" w14:textId="77777777" w:rsidR="00BB290D" w:rsidRDefault="00BB290D" w:rsidP="00BB290D">
      <w:pPr>
        <w:widowControl w:val="0"/>
        <w:ind w:left="24" w:firstLine="685"/>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SEXTO.</w:t>
      </w:r>
      <w:r>
        <w:rPr>
          <w:rFonts w:ascii="AytoRoquetas Light Condensed" w:eastAsia="Times New Roman" w:hAnsi="AytoRoquetas Light Condensed" w:cs="Arial"/>
          <w:i/>
          <w:iC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0DD03E33" w14:textId="77777777" w:rsidR="00BB290D" w:rsidRDefault="00BB290D" w:rsidP="00BB290D">
      <w:pPr>
        <w:ind w:left="426" w:right="57"/>
        <w:contextualSpacing/>
        <w:jc w:val="both"/>
        <w:rPr>
          <w:rFonts w:ascii="AytoRoquetas Light Condensed" w:eastAsia="Times New Roman" w:hAnsi="AytoRoquetas Light Condensed" w:cs="Arial"/>
          <w:i/>
          <w:iCs/>
        </w:rPr>
      </w:pPr>
    </w:p>
    <w:p w14:paraId="08EEDE9B" w14:textId="77777777" w:rsidR="00BB290D" w:rsidRDefault="00BB290D" w:rsidP="00BB290D">
      <w:pPr>
        <w:ind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i/>
          <w:iCs/>
        </w:rPr>
        <w:t>SÉPTIMO.</w:t>
      </w:r>
      <w:r>
        <w:rPr>
          <w:rFonts w:ascii="AytoRoquetas Light Condensed" w:eastAsia="Times New Roman" w:hAnsi="AytoRoquetas Light Condensed" w:cs="Arial"/>
          <w:i/>
          <w:iC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4EDE9D00" w14:textId="77777777" w:rsidR="00BB290D" w:rsidRDefault="00BB290D" w:rsidP="00BB290D">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Pr>
          <w:rFonts w:ascii="AytoRoquetas Light Condensed" w:eastAsia="Times New Roman" w:hAnsi="AytoRoquetas Light Condensed" w:cs="Arial"/>
          <w:b/>
          <w:bCs/>
          <w:i/>
          <w:iCs/>
        </w:rPr>
        <w:t xml:space="preserve">  </w:t>
      </w:r>
      <w:r>
        <w:rPr>
          <w:rFonts w:ascii="AytoRoquetas Light Condensed" w:eastAsia="Times New Roman" w:hAnsi="AytoRoquetas Light Condensed" w:cs="Arial"/>
          <w:i/>
          <w:iCs/>
        </w:rPr>
        <w:t>Se deberá remitir una vez aprobada definitivamente la Cuenta General del Consorcio al Ayuntamiento de Roquetas de Mar, para completar y remitir a la Cámara de Cuentas.</w:t>
      </w:r>
    </w:p>
    <w:p w14:paraId="4D39E7C9" w14:textId="77777777" w:rsidR="00BB290D" w:rsidRDefault="00BB290D" w:rsidP="00BB290D">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b/>
          <w:i/>
          <w:iCs/>
        </w:rPr>
        <w:t>OCTAVO.</w:t>
      </w:r>
      <w:r>
        <w:rPr>
          <w:rFonts w:ascii="AytoRoquetas Light Condensed" w:eastAsia="Times New Roman" w:hAnsi="AytoRoquetas Light Condensed" w:cs="Arial"/>
          <w:i/>
          <w:iCs/>
        </w:rPr>
        <w:t xml:space="preserve"> Una vez formada y analizada la Cuenta General del ejercicio 2022, se procede al análisis y evaluación de las conclusiones y recomendaciones, de forma que se lleve a cabo una planificación del trabajo a realizar para implementar dichas recomendaciones.</w:t>
      </w:r>
    </w:p>
    <w:p w14:paraId="417DDB3E" w14:textId="77777777" w:rsidR="00BB290D" w:rsidRDefault="00BB290D" w:rsidP="00BB290D">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Consorcio deberán remitir al Ayuntamiento de Roquetas de Mar una vez aprobada la Cuenta General para su incorporación y remisión a la Cámara de Cuentas- 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1450AF78" w14:textId="77777777" w:rsidR="00BB290D" w:rsidRDefault="00BB290D" w:rsidP="00BB290D">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Consorcio no dispone de un inventario de bienes, lo cual impide un adecuado registro contable del área de inmovilizado, al no poderse identificar, ni valorar los bienes y derechos que posee el Consorcio. </w:t>
      </w:r>
    </w:p>
    <w:p w14:paraId="76684F2E" w14:textId="77777777" w:rsidR="00BB290D" w:rsidRDefault="00BB290D" w:rsidP="00BB290D">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 </w:t>
      </w:r>
    </w:p>
    <w:p w14:paraId="49A53C26" w14:textId="77777777" w:rsidR="00BB290D" w:rsidRDefault="00BB290D" w:rsidP="00BB290D">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Durante el ejercicio 2023, el Consorcio no ha dispuesto de más recursos humanos que los necesarios para prestar los servicios de Tesorería, Intervención y Secretaría, no disponiendo de otro personal que directa o indirectamente gestione el servicio púbico y efectúe el seguimiento y control de las concesionarias, las funciones de seguimiento de los contratos de gestión de servicios públicos actualmente suscritos y el resto de obligaciones derivadas de las competencias propias del Consorcio se desarrollan por personal propio de las entidades consorciadas, transfiriendo este Consorcio el importe de las gratificaciones a este personal de apoyo a las entidades de las que dependen.  En anteriores ejercicios se puso de manifiesto por parte de la Intervención que carece de sentido, en atención a los principios de eficacia y eficiencia del gasto público la creación de una Entidad que no posee recursos para cumplir con sus fines, recomendándose su transformación en Mancomunidad que preste los servicios de los tres Consorcios adscritos a este Ayuntamiento, tal como se recomienda mediante Decreto de 30 de junio de 2020, del Sr. Alcalde de Roquetas de Mar, notificado a los Presidentes de cada de los tres Consorcios, extremo éste que ya fue puesto de manifiesto por la Intervención con motivo de la aprobación de la Cuenta General del Consorcio correspondiente a los ejercicios 2020, 2021 y 2022, no obstante, y visto que el Ayuntamiento de Roquetas de Mar ha incorporado en el ejercicio 2024 a su plantilla de personal propio a cuatro funcionarios que ocupan puestos definidos en la RPT del Ayuntamiento de Servicios Interadministrativos cuyo gasto ha sido asumido por los Consorcios a los que se presta servicios por parte de dicho personal, habrá de ponderarse al cierre del ejercicio 2024 si dicha forma de gestión resulta más eficiente en cuanto a la adecuación de la asignación de los recursos públicos para el cumplimiento de los fines que se le asignan a la presente Entidad.</w:t>
      </w:r>
    </w:p>
    <w:p w14:paraId="63015F96" w14:textId="77777777" w:rsidR="00BB290D" w:rsidRDefault="00BB290D" w:rsidP="00BB290D">
      <w:pPr>
        <w:ind w:firstLine="709"/>
        <w:jc w:val="both"/>
        <w:rPr>
          <w:rFonts w:ascii="AytoRoquetas Light Condensed" w:eastAsia="Times New Roman" w:hAnsi="AytoRoquetas Light Condensed" w:cs="Arial"/>
          <w:i/>
          <w:iCs/>
        </w:rPr>
      </w:pPr>
    </w:p>
    <w:p w14:paraId="46BCD8E8" w14:textId="77777777" w:rsidR="00BB290D" w:rsidRDefault="00BB290D" w:rsidP="00BB290D">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55DA06D5" w14:textId="77777777" w:rsidR="00BB290D" w:rsidRDefault="00BB290D" w:rsidP="00BB290D">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Asimismo, es necesario concluir:</w:t>
      </w:r>
    </w:p>
    <w:p w14:paraId="28450F51" w14:textId="77777777" w:rsidR="00BB290D" w:rsidRDefault="00BB290D" w:rsidP="00BB290D">
      <w:pPr>
        <w:numPr>
          <w:ilvl w:val="0"/>
          <w:numId w:val="3"/>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Que se remiten todos los Estados Contables y la documentación complementaria exigidas por la normativa vigente.</w:t>
      </w:r>
    </w:p>
    <w:p w14:paraId="7C696C84" w14:textId="77777777" w:rsidR="00BB290D" w:rsidRDefault="00BB290D" w:rsidP="00BB290D">
      <w:pPr>
        <w:numPr>
          <w:ilvl w:val="0"/>
          <w:numId w:val="3"/>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Que los expedientes, documentos y libros mencionados en el Título II de la Instrucción de Contabilidad se encuentran a disposición del Tribunal de Cuentas.</w:t>
      </w:r>
    </w:p>
    <w:p w14:paraId="7374F8D7" w14:textId="77777777" w:rsidR="00BB290D" w:rsidRDefault="00BB290D" w:rsidP="00BB290D">
      <w:pPr>
        <w:ind w:left="709"/>
        <w:jc w:val="both"/>
        <w:rPr>
          <w:rFonts w:ascii="AytoRoquetas Light Condensed" w:eastAsia="Times New Roman" w:hAnsi="AytoRoquetas Light Condensed" w:cs="Arial"/>
          <w:i/>
          <w:iCs/>
        </w:rPr>
      </w:pPr>
    </w:p>
    <w:p w14:paraId="697B37BB" w14:textId="77777777" w:rsidR="00BB290D" w:rsidRDefault="00BB290D" w:rsidP="00BB290D">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En virtud de todo lo expuesto en este Informe, </w:t>
      </w:r>
      <w:r>
        <w:rPr>
          <w:rFonts w:ascii="AytoRoquetas Light Condensed" w:eastAsia="Times New Roman" w:hAnsi="AytoRoquetas Light Condensed" w:cs="Arial"/>
          <w:b/>
          <w:bCs/>
          <w:i/>
          <w:iCs/>
          <w:u w:val="single"/>
        </w:rPr>
        <w:t>procede tramitar las Cuenta General del Consorcio correspondientes al ejercicio 2023</w:t>
      </w:r>
      <w:r>
        <w:rPr>
          <w:rFonts w:ascii="AytoRoquetas Light Condensed" w:eastAsia="Times New Roman" w:hAnsi="AytoRoquetas Light Condensed" w:cs="Arial"/>
          <w:i/>
          <w:iCs/>
        </w:rPr>
        <w:t>.</w:t>
      </w:r>
    </w:p>
    <w:p w14:paraId="2C8358A1" w14:textId="77777777" w:rsidR="00BB290D" w:rsidRPr="0052172B" w:rsidRDefault="00BB290D" w:rsidP="00BB290D">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Es cuanto tengo el honor de informar, sin perjuicio de cualquier otra consideración mejor fundada en derecho.”</w:t>
      </w:r>
    </w:p>
    <w:p w14:paraId="45EBD6E7" w14:textId="77777777" w:rsidR="00BB290D" w:rsidRPr="0052172B" w:rsidRDefault="00BB290D" w:rsidP="00BB290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color w:val="auto"/>
          <w:sz w:val="22"/>
          <w:szCs w:val="22"/>
        </w:rPr>
      </w:pPr>
      <w:r w:rsidRPr="0052172B">
        <w:rPr>
          <w:rFonts w:ascii="AytoRoquetas Light Condensed" w:hAnsi="AytoRoquetas Light Condensed"/>
          <w:color w:val="auto"/>
          <w:sz w:val="22"/>
          <w:szCs w:val="22"/>
        </w:rPr>
        <w:t>Vista la Cuenta del ejercicio 2023 formada por Intervención del Consorcio y sus documentos anexos, así como el informe emitido por la misma.</w:t>
      </w:r>
    </w:p>
    <w:p w14:paraId="03A04186" w14:textId="77777777" w:rsidR="00BB290D" w:rsidRPr="0052172B" w:rsidRDefault="00BB290D" w:rsidP="00BB290D">
      <w:pPr>
        <w:pStyle w:val="Textodebloque"/>
        <w:spacing w:after="0" w:line="276" w:lineRule="auto"/>
        <w:ind w:left="0" w:right="0" w:firstLine="0"/>
        <w:rPr>
          <w:rFonts w:ascii="AytoRoquetas Light Condensed" w:hAnsi="AytoRoquetas Light Condensed"/>
          <w:color w:val="auto"/>
          <w:sz w:val="22"/>
          <w:szCs w:val="22"/>
        </w:rPr>
      </w:pPr>
    </w:p>
    <w:p w14:paraId="35FE70D8" w14:textId="77777777" w:rsidR="00BB290D" w:rsidRDefault="00BB290D" w:rsidP="00BB290D">
      <w:pPr>
        <w:pStyle w:val="Textodebloque"/>
        <w:spacing w:after="0" w:line="276" w:lineRule="auto"/>
        <w:ind w:left="0" w:right="0" w:firstLine="0"/>
        <w:rPr>
          <w:rFonts w:ascii="AytoRoquetas Light Condensed" w:hAnsi="AytoRoquetas Light Condensed"/>
        </w:rPr>
      </w:pPr>
      <w:r>
        <w:rPr>
          <w:rFonts w:ascii="AytoRoquetas Light Condensed" w:hAnsi="AytoRoquetas Light Condensed"/>
          <w:color w:val="auto"/>
          <w:sz w:val="22"/>
          <w:szCs w:val="24"/>
        </w:rPr>
        <w:t>De acuerdo con el contenido de los artículos 200 y siguientes del Texto Refundido de la Ley Reguladora de las Haciendas Locales aprobado por Real Decreto Legislativo 2/2004, la JUNTA GENERAL ha resuelto:</w:t>
      </w:r>
    </w:p>
    <w:p w14:paraId="7D3BED06" w14:textId="77777777" w:rsidR="00BB290D" w:rsidRDefault="00BB290D" w:rsidP="00BB290D">
      <w:pPr>
        <w:pStyle w:val="FreeForm"/>
        <w:spacing w:line="288" w:lineRule="auto"/>
        <w:jc w:val="both"/>
        <w:rPr>
          <w:rFonts w:ascii="AytoRoquetas Light Condensed" w:hAnsi="AytoRoquetas Light Condensed"/>
          <w:color w:val="auto"/>
          <w:sz w:val="22"/>
          <w:szCs w:val="22"/>
        </w:rPr>
      </w:pPr>
    </w:p>
    <w:p w14:paraId="7F010838" w14:textId="77777777" w:rsidR="00BB290D" w:rsidRPr="00BB290D" w:rsidRDefault="00BB290D" w:rsidP="00BB290D">
      <w:pPr>
        <w:pStyle w:val="FreeForm"/>
        <w:spacing w:line="288" w:lineRule="auto"/>
        <w:rPr>
          <w:rFonts w:ascii="AytoRoquetas Light Condensed" w:hAnsi="AytoRoquetas Light Condensed" w:cs="Arial"/>
          <w:color w:val="auto"/>
          <w:sz w:val="22"/>
          <w:szCs w:val="24"/>
        </w:rPr>
      </w:pPr>
      <w:r>
        <w:rPr>
          <w:rFonts w:ascii="AytoRoquetas Light Condensed" w:hAnsi="AytoRoquetas Light Condensed"/>
          <w:b/>
          <w:bCs/>
          <w:color w:val="auto"/>
          <w:sz w:val="22"/>
          <w:szCs w:val="22"/>
        </w:rPr>
        <w:t>Primero</w:t>
      </w:r>
      <w:r>
        <w:rPr>
          <w:rFonts w:ascii="AytoRoquetas Light Condensed" w:hAnsi="AytoRoquetas Light Condensed"/>
          <w:color w:val="auto"/>
          <w:sz w:val="22"/>
          <w:szCs w:val="22"/>
        </w:rPr>
        <w:t xml:space="preserve">.- </w:t>
      </w:r>
      <w:r w:rsidRPr="00BB290D">
        <w:rPr>
          <w:rFonts w:ascii="AytoRoquetas Light Condensed" w:hAnsi="AytoRoquetas Light Condensed" w:cs="Arial"/>
          <w:color w:val="auto"/>
          <w:sz w:val="22"/>
          <w:szCs w:val="24"/>
        </w:rPr>
        <w:t>APROBAR INICIALMENTE la Cuenta General 2023.</w:t>
      </w:r>
    </w:p>
    <w:p w14:paraId="65A55516" w14:textId="77777777" w:rsidR="00BB290D" w:rsidRDefault="00BB290D" w:rsidP="00BB290D">
      <w:pPr>
        <w:pStyle w:val="FreeForm"/>
        <w:spacing w:line="288" w:lineRule="auto"/>
        <w:jc w:val="both"/>
        <w:rPr>
          <w:rFonts w:ascii="AytoRoquetas Light Condensed" w:hAnsi="AytoRoquetas Light Condensed"/>
          <w:color w:val="auto"/>
          <w:sz w:val="22"/>
          <w:szCs w:val="22"/>
        </w:rPr>
      </w:pPr>
    </w:p>
    <w:p w14:paraId="12BE19DE" w14:textId="77777777" w:rsidR="00BB290D" w:rsidRPr="00BB290D" w:rsidRDefault="00BB290D" w:rsidP="00BB290D">
      <w:pPr>
        <w:pStyle w:val="Formatolibre"/>
        <w:spacing w:line="276" w:lineRule="auto"/>
        <w:jc w:val="both"/>
        <w:rPr>
          <w:rFonts w:ascii="AytoRoquetas Light Condensed" w:eastAsia="Times New Roman" w:hAnsi="AytoRoquetas Light Condensed" w:cs="Arial"/>
          <w:color w:val="auto"/>
          <w:sz w:val="22"/>
          <w:szCs w:val="24"/>
          <w:lang w:val="es-ES"/>
        </w:rPr>
      </w:pPr>
      <w:r>
        <w:rPr>
          <w:rFonts w:ascii="AytoRoquetas Light Condensed" w:hAnsi="AytoRoquetas Light Condensed"/>
          <w:b/>
          <w:bCs/>
        </w:rPr>
        <w:t>Segundo</w:t>
      </w:r>
      <w:r>
        <w:rPr>
          <w:rFonts w:ascii="AytoRoquetas Light Condensed" w:hAnsi="AytoRoquetas Light Condensed"/>
        </w:rPr>
        <w:t xml:space="preserve">.- </w:t>
      </w:r>
      <w:r w:rsidRPr="00BB290D">
        <w:rPr>
          <w:rFonts w:ascii="AytoRoquetas Light Condensed" w:eastAsia="Times New Roman" w:hAnsi="AytoRoquetas Light Condensed" w:cs="Arial"/>
          <w:color w:val="auto"/>
          <w:sz w:val="22"/>
          <w:szCs w:val="24"/>
          <w:lang w:val="es-ES"/>
        </w:rPr>
        <w:t>Proceder a su exposición al público por plazo de quince días hábiles, durante los cuales los interesados podrán presentar reclamaciones, u observaciones, conforme a lo establecido en el artículo 212 del mismo texto legal.</w:t>
      </w:r>
    </w:p>
    <w:p w14:paraId="21F30A34" w14:textId="77777777" w:rsidR="00BB290D" w:rsidRDefault="00BB290D" w:rsidP="00BB290D">
      <w:pPr>
        <w:pStyle w:val="Default"/>
        <w:spacing w:line="288" w:lineRule="auto"/>
        <w:contextualSpacing/>
        <w:jc w:val="both"/>
        <w:rPr>
          <w:rFonts w:cs="Frutiger Light Condensed"/>
          <w:b/>
          <w:bCs/>
          <w:color w:val="auto"/>
          <w:sz w:val="22"/>
          <w:szCs w:val="22"/>
        </w:rPr>
      </w:pPr>
    </w:p>
    <w:p w14:paraId="03DB3B58" w14:textId="77777777" w:rsidR="00BB290D" w:rsidRPr="003645B5" w:rsidRDefault="00BB290D" w:rsidP="00BB290D">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C805944" w14:textId="77777777" w:rsidR="00BB290D" w:rsidRPr="003645B5" w:rsidRDefault="00BB290D" w:rsidP="00BB290D">
      <w:pPr>
        <w:spacing w:after="0" w:line="288" w:lineRule="auto"/>
        <w:contextualSpacing/>
        <w:jc w:val="both"/>
        <w:rPr>
          <w:rFonts w:ascii="AytoRoquetas Light Condensed" w:hAnsi="AytoRoquetas Light Condensed"/>
          <w:szCs w:val="20"/>
        </w:rPr>
      </w:pPr>
    </w:p>
    <w:p w14:paraId="5A77F706" w14:textId="2973F642" w:rsidR="00BB290D" w:rsidRDefault="00BB290D" w:rsidP="00BB290D">
      <w:pPr>
        <w:ind w:left="24" w:right="57" w:firstLine="696"/>
        <w:jc w:val="both"/>
        <w:rPr>
          <w:rFonts w:ascii="AytoRoquetas Light Condensed" w:eastAsia="Times New Roman" w:hAnsi="AytoRoquetas Light Condensed" w:cs="Arial"/>
          <w:i/>
          <w:iCs/>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r>
        <w:rPr>
          <w:rFonts w:ascii="AytoRoquetas Light Condensed" w:hAnsi="AytoRoquetas Light Condensed"/>
          <w:i/>
          <w:iCs/>
          <w:szCs w:val="20"/>
        </w:rPr>
        <w:t xml:space="preserve">. </w:t>
      </w:r>
    </w:p>
    <w:p w14:paraId="7F785AE0" w14:textId="77777777" w:rsidR="00402708" w:rsidRDefault="00402708">
      <w:pPr>
        <w:spacing w:line="288" w:lineRule="auto"/>
        <w:ind w:firstLine="1134"/>
        <w:jc w:val="both"/>
        <w:rPr>
          <w:rFonts w:ascii="AytoRoquetas Light Condensed" w:hAnsi="AytoRoquetas Light Condensed" w:cs="AytoRoquetas Light Condensed"/>
          <w:sz w:val="20"/>
          <w:szCs w:val="20"/>
        </w:rPr>
      </w:pPr>
    </w:p>
    <w:sectPr w:rsidR="00402708">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85AEA" w14:textId="77777777" w:rsidR="00BB290D" w:rsidRDefault="00BB290D">
      <w:pPr>
        <w:spacing w:after="0" w:line="240" w:lineRule="auto"/>
      </w:pPr>
      <w:r>
        <w:separator/>
      </w:r>
    </w:p>
  </w:endnote>
  <w:endnote w:type="continuationSeparator" w:id="0">
    <w:p w14:paraId="7F785AEC" w14:textId="77777777" w:rsidR="00BB290D" w:rsidRDefault="00BB2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Book Antiqua Bold">
    <w:altName w:val="Book Antiqua"/>
    <w:charset w:val="01"/>
    <w:family w:val="auto"/>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85AE5" w14:textId="77777777" w:rsidR="00402708" w:rsidRDefault="00BB290D">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85AE6" w14:textId="77777777" w:rsidR="00BB290D" w:rsidRDefault="00BB290D">
      <w:pPr>
        <w:spacing w:after="0" w:line="240" w:lineRule="auto"/>
      </w:pPr>
      <w:r>
        <w:separator/>
      </w:r>
    </w:p>
  </w:footnote>
  <w:footnote w:type="continuationSeparator" w:id="0">
    <w:p w14:paraId="7F785AE8" w14:textId="77777777" w:rsidR="00BB290D" w:rsidRDefault="00BB2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85AE1" w14:textId="77777777" w:rsidR="00402708" w:rsidRDefault="00BB290D">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F785AE6">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F785AE8" w14:textId="77777777" w:rsidR="00402708" w:rsidRDefault="00BB290D">
                <w:pPr>
                  <w:spacing w:after="0" w:line="240" w:lineRule="atLeast"/>
                  <w:rPr>
                    <w:color w:val="1D8FC7"/>
                    <w:sz w:val="16"/>
                    <w:szCs w:val="16"/>
                  </w:rPr>
                </w:pPr>
                <w:r>
                  <w:rPr>
                    <w:color w:val="1D8FC7"/>
                    <w:sz w:val="16"/>
                    <w:szCs w:val="16"/>
                  </w:rPr>
                  <w:t>Plaza de la Constituci</w:t>
                </w:r>
                <w:r>
                  <w:rPr>
                    <w:color w:val="1D8FC7"/>
                    <w:sz w:val="16"/>
                    <w:szCs w:val="16"/>
                  </w:rPr>
                  <w:t>ón, 1</w:t>
                </w:r>
              </w:p>
              <w:p w14:paraId="7F785AE9" w14:textId="77777777" w:rsidR="00402708" w:rsidRDefault="00BB290D">
                <w:pPr>
                  <w:spacing w:after="0" w:line="240" w:lineRule="atLeast"/>
                  <w:rPr>
                    <w:color w:val="1D8FC7"/>
                    <w:sz w:val="16"/>
                    <w:szCs w:val="16"/>
                  </w:rPr>
                </w:pPr>
                <w:r>
                  <w:rPr>
                    <w:color w:val="1D8FC7"/>
                    <w:sz w:val="16"/>
                    <w:szCs w:val="16"/>
                  </w:rPr>
                  <w:t>04740 Roquetas de Mar, Almería</w:t>
                </w:r>
              </w:p>
              <w:p w14:paraId="7F785AEA" w14:textId="77777777" w:rsidR="00402708" w:rsidRDefault="00BB290D">
                <w:pPr>
                  <w:spacing w:after="0" w:line="240" w:lineRule="atLeast"/>
                  <w:rPr>
                    <w:color w:val="1D8FC7"/>
                    <w:sz w:val="16"/>
                    <w:szCs w:val="16"/>
                  </w:rPr>
                </w:pPr>
                <w:r>
                  <w:rPr>
                    <w:color w:val="1D8FC7"/>
                    <w:sz w:val="16"/>
                    <w:szCs w:val="16"/>
                  </w:rPr>
                  <w:t>Tels.: 950 33 85 85 – 950 33 86 19</w:t>
                </w:r>
              </w:p>
              <w:p w14:paraId="7F785AEB" w14:textId="77777777" w:rsidR="00402708" w:rsidRDefault="00BB290D">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F785AE2" w14:textId="77777777" w:rsidR="00402708" w:rsidRDefault="00BB290D">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F785A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F785AE3" w14:textId="77777777" w:rsidR="00402708" w:rsidRDefault="00402708">
    <w:pPr>
      <w:pStyle w:val="Encabezado28"/>
      <w:rPr>
        <w:rFonts w:ascii="AytoRoquetas Light Condensed" w:hAnsi="AytoRoquetas Light Condensed" w:cs="AytoRoquetas Light Condensed"/>
      </w:rPr>
    </w:pPr>
  </w:p>
  <w:p w14:paraId="7F785AE4" w14:textId="77777777" w:rsidR="00402708" w:rsidRDefault="00402708">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676498934">
    <w:abstractNumId w:val="0"/>
  </w:num>
  <w:num w:numId="2" w16cid:durableId="2082866343">
    <w:abstractNumId w:val="1"/>
  </w:num>
  <w:num w:numId="3" w16cid:durableId="1212959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02708"/>
    <w:rsid w:val="00402708"/>
    <w:rsid w:val="00616466"/>
    <w:rsid w:val="00BB29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F785AD2"/>
  <w15:docId w15:val="{C6D7D2E4-0C85-4E22-AD69-81014EE9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BB290D"/>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BB290D"/>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BB290D"/>
    <w:rPr>
      <w:rFonts w:ascii="Times New Roman" w:eastAsia="Times New Roman" w:hAnsi="Times New Roman" w:cs="Times New Roman"/>
      <w:b/>
      <w:sz w:val="24"/>
      <w:lang w:eastAsia="es-ES"/>
    </w:rPr>
  </w:style>
  <w:style w:type="paragraph" w:customStyle="1" w:styleId="Formatolibre">
    <w:name w:val="Formato libre"/>
    <w:qFormat/>
    <w:rsid w:val="00BB290D"/>
    <w:pPr>
      <w:suppressAutoHyphens/>
    </w:pPr>
    <w:rPr>
      <w:rFonts w:ascii="Helvetica" w:eastAsia="ヒラギノ角ゴ Pro W3" w:hAnsi="Helvetica" w:cs="Times New Roman"/>
      <w:color w:val="000000"/>
      <w:sz w:val="24"/>
      <w:lang w:eastAsia="es-ES"/>
    </w:rPr>
  </w:style>
  <w:style w:type="paragraph" w:customStyle="1" w:styleId="FreeForm">
    <w:name w:val="Free Form"/>
    <w:qFormat/>
    <w:rsid w:val="00BB290D"/>
    <w:rPr>
      <w:rFonts w:ascii="Times New Roman" w:eastAsia="Times New Roman" w:hAnsi="Times New Roman" w:cs="Times New Roman"/>
      <w:color w:val="000000"/>
      <w:lang w:val="es-ES" w:eastAsia="es-ES"/>
    </w:rPr>
  </w:style>
  <w:style w:type="paragraph" w:customStyle="1" w:styleId="Predeterminado">
    <w:name w:val="Predeterminado"/>
    <w:uiPriority w:val="99"/>
    <w:qFormat/>
    <w:rsid w:val="00BB290D"/>
    <w:pPr>
      <w:suppressAutoHyphens/>
    </w:pPr>
    <w:rPr>
      <w:rFonts w:ascii="Book Antiqua Bold" w:eastAsia="Times New Roman" w:hAnsi="Book Antiqua Bold" w:cs="Times New Roman"/>
      <w:color w:val="000000"/>
      <w:sz w:val="18"/>
      <w:lang w:eastAsia="es-ES"/>
    </w:rPr>
  </w:style>
  <w:style w:type="paragraph" w:styleId="Textodebloque">
    <w:name w:val="Block Text"/>
    <w:basedOn w:val="Normal"/>
    <w:uiPriority w:val="99"/>
    <w:qFormat/>
    <w:rsid w:val="00BB290D"/>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2189</Words>
  <Characters>12045</Characters>
  <Application>Microsoft Office Word</Application>
  <DocSecurity>0</DocSecurity>
  <Lines>100</Lines>
  <Paragraphs>28</Paragraphs>
  <ScaleCrop>false</ScaleCrop>
  <Company/>
  <LinksUpToDate>false</LinksUpToDate>
  <CharactersWithSpaces>14206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2024-09-13T10:09:00Z</dcterms:created>
  <dcterms:modified xsi:type="dcterms:W3CDTF">2024-09-13T10:12:00Z</dcterms:modified>
</cp:coreProperties>
</file>