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1A2BE" w14:textId="77777777" w:rsidR="001D1F0B" w:rsidRPr="003645B5" w:rsidRDefault="001D1F0B" w:rsidP="001D1F0B">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73CD34F4" w14:textId="77777777" w:rsidR="001D1F0B" w:rsidRPr="003645B5" w:rsidRDefault="001D1F0B" w:rsidP="001D1F0B">
      <w:pPr>
        <w:pStyle w:val="Default"/>
        <w:spacing w:line="288" w:lineRule="auto"/>
        <w:contextualSpacing/>
        <w:jc w:val="both"/>
        <w:rPr>
          <w:color w:val="auto"/>
          <w:sz w:val="22"/>
          <w:szCs w:val="22"/>
        </w:rPr>
      </w:pPr>
    </w:p>
    <w:p w14:paraId="22756C61" w14:textId="77777777" w:rsidR="001D1F0B" w:rsidRPr="003645B5" w:rsidRDefault="001D1F0B" w:rsidP="001D1F0B">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0DCB82E8" w14:textId="77777777" w:rsidR="001D1F0B" w:rsidRPr="003645B5" w:rsidRDefault="001D1F0B" w:rsidP="001D1F0B">
      <w:pPr>
        <w:pStyle w:val="Textoindependiente"/>
        <w:spacing w:line="288" w:lineRule="auto"/>
        <w:contextualSpacing/>
        <w:rPr>
          <w:rFonts w:ascii="AytoRoquetas Light Condensed" w:eastAsia="Georgia" w:hAnsi="AytoRoquetas Light Condensed" w:cs="Georgia"/>
          <w:b w:val="0"/>
          <w:sz w:val="22"/>
          <w:szCs w:val="22"/>
          <w:lang w:eastAsia="en-US"/>
        </w:rPr>
      </w:pPr>
    </w:p>
    <w:p w14:paraId="5369C490" w14:textId="77777777" w:rsidR="001D1F0B" w:rsidRDefault="001D1F0B" w:rsidP="001D1F0B">
      <w:pPr>
        <w:pStyle w:val="Formatolibre"/>
        <w:spacing w:line="276" w:lineRule="auto"/>
        <w:jc w:val="both"/>
        <w:rPr>
          <w:rFonts w:ascii="AytoRoquetas Light Condensed" w:eastAsia="Times New Roman" w:hAnsi="AytoRoquetas Light Condensed"/>
          <w:b/>
          <w:color w:val="auto"/>
          <w:sz w:val="26"/>
          <w:szCs w:val="26"/>
          <w:lang w:val="es-ES"/>
        </w:rPr>
      </w:pPr>
      <w:r>
        <w:rPr>
          <w:rFonts w:ascii="AytoRoquetas Light Condensed" w:hAnsi="AytoRoquetas Light Condensed"/>
          <w:b/>
          <w:bCs/>
          <w:sz w:val="22"/>
          <w:lang w:val="es-ES"/>
        </w:rPr>
        <w:t>6</w:t>
      </w:r>
      <w:r w:rsidRPr="001F2BFC">
        <w:rPr>
          <w:rFonts w:ascii="AytoRoquetas Light Condensed" w:hAnsi="AytoRoquetas Light Condensed"/>
          <w:b/>
          <w:bCs/>
          <w:sz w:val="22"/>
          <w:lang w:val="es-ES"/>
        </w:rPr>
        <w:t>.</w:t>
      </w:r>
      <w:r>
        <w:rPr>
          <w:rFonts w:ascii="AytoRoquetas Light Condensed" w:hAnsi="AytoRoquetas Light Condensed"/>
          <w:sz w:val="22"/>
          <w:lang w:val="es-ES"/>
        </w:rPr>
        <w:t xml:space="preserve"> </w:t>
      </w:r>
      <w:r w:rsidRPr="004F2BA9">
        <w:rPr>
          <w:rFonts w:ascii="AytoRoquetas Light Condensed" w:hAnsi="AytoRoquetas Light Condensed"/>
          <w:b/>
          <w:bCs/>
          <w:sz w:val="22"/>
          <w:lang w:val="es-ES"/>
        </w:rPr>
        <w:t>1</w:t>
      </w:r>
      <w:r>
        <w:rPr>
          <w:rFonts w:ascii="AytoRoquetas Light Condensed" w:hAnsi="AytoRoquetas Light Condensed"/>
          <w:b/>
          <w:bCs/>
          <w:sz w:val="22"/>
          <w:lang w:val="es-ES"/>
        </w:rPr>
        <w:t xml:space="preserve"> </w:t>
      </w:r>
      <w:r>
        <w:rPr>
          <w:rFonts w:ascii="AytoRoquetas Light Condensed" w:eastAsia="Times New Roman" w:hAnsi="AytoRoquetas Light Condensed"/>
          <w:b/>
          <w:color w:val="auto"/>
          <w:sz w:val="26"/>
          <w:szCs w:val="26"/>
        </w:rPr>
        <w:t>PROPOSICIÓN relativa a la aprobación definitiva de la Cuenta General del año 2022</w:t>
      </w:r>
    </w:p>
    <w:p w14:paraId="1BA6B0B1" w14:textId="77777777" w:rsidR="001D1F0B" w:rsidRDefault="001D1F0B" w:rsidP="001D1F0B">
      <w:pPr>
        <w:pStyle w:val="Textoindependiente"/>
        <w:spacing w:line="276" w:lineRule="auto"/>
        <w:rPr>
          <w:rFonts w:ascii="AytoRoquetas Light Condensed" w:hAnsi="AytoRoquetas Light Condensed"/>
          <w:sz w:val="26"/>
          <w:szCs w:val="26"/>
          <w:lang w:val="es-ES"/>
        </w:rPr>
      </w:pPr>
    </w:p>
    <w:p w14:paraId="64D52AC0" w14:textId="77777777" w:rsidR="001D1F0B" w:rsidRDefault="001D1F0B" w:rsidP="001D1F0B">
      <w:pPr>
        <w:pStyle w:val="Formatolibre"/>
        <w:spacing w:line="276" w:lineRule="auto"/>
        <w:ind w:firstLine="284"/>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Sobre la Cuenta General del ejercicio 2022, se da cuenta del informe de Intervención de fecha 10 de mayo de 2023:</w:t>
      </w:r>
    </w:p>
    <w:p w14:paraId="60D5E748" w14:textId="77777777" w:rsidR="001D1F0B" w:rsidRDefault="001D1F0B" w:rsidP="001D1F0B">
      <w:pPr>
        <w:pStyle w:val="Formatolibre"/>
        <w:spacing w:line="276" w:lineRule="auto"/>
        <w:jc w:val="both"/>
        <w:rPr>
          <w:rFonts w:ascii="AytoRoquetas Light Condensed" w:eastAsia="Times New Roman" w:hAnsi="AytoRoquetas Light Condensed"/>
          <w:bCs/>
          <w:color w:val="auto"/>
          <w:sz w:val="22"/>
          <w:szCs w:val="22"/>
          <w:lang w:val="es-ES"/>
        </w:rPr>
      </w:pPr>
    </w:p>
    <w:p w14:paraId="0916A5B4" w14:textId="77777777" w:rsidR="001D1F0B" w:rsidRDefault="001D1F0B" w:rsidP="001D1F0B">
      <w:pPr>
        <w:pStyle w:val="Formatolibre"/>
        <w:spacing w:line="276" w:lineRule="auto"/>
        <w:jc w:val="both"/>
        <w:rPr>
          <w:rFonts w:ascii="AytoRoquetas Light Condensed" w:eastAsia="Times New Roman" w:hAnsi="AytoRoquetas Light Condensed"/>
          <w:bCs/>
          <w:color w:val="auto"/>
          <w:sz w:val="22"/>
          <w:szCs w:val="22"/>
          <w:lang w:val="es-ES"/>
        </w:rPr>
      </w:pPr>
    </w:p>
    <w:p w14:paraId="44DF971F" w14:textId="77777777" w:rsidR="001D1F0B" w:rsidRDefault="001D1F0B" w:rsidP="001D1F0B">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artículo 27 de los vigentes Estatutos del Consorcio </w:t>
      </w:r>
      <w:bookmarkStart w:id="0" w:name="_Hlk134447147"/>
      <w:r>
        <w:rPr>
          <w:rFonts w:ascii="AytoRoquetas Light Condensed" w:eastAsia="Times New Roman" w:hAnsi="AytoRoquetas Light Condensed" w:cs="Arial"/>
          <w:i/>
          <w:iCs/>
        </w:rPr>
        <w:t>para la gestión de los servicios integrados de abastecimiento de agua y saneamiento de los Municipios del Poniente</w:t>
      </w:r>
      <w:bookmarkEnd w:id="0"/>
      <w:r>
        <w:rPr>
          <w:rFonts w:ascii="AytoRoquetas Light Condensed" w:eastAsia="Times New Roman" w:hAnsi="AytoRoquetas Light Condensed" w:cs="Arial"/>
          <w:i/>
          <w:iCs/>
        </w:rPr>
        <w:t xml:space="preserv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50B56AF5" w14:textId="77777777" w:rsidR="001D1F0B" w:rsidRDefault="001D1F0B" w:rsidP="001D1F0B">
      <w:pPr>
        <w:ind w:right="-568" w:firstLine="284"/>
        <w:jc w:val="both"/>
        <w:rPr>
          <w:rFonts w:ascii="AytoRoquetas Light Condensed" w:eastAsia="Times New Roman" w:hAnsi="AytoRoquetas Light Condensed" w:cs="Arial"/>
          <w:i/>
          <w:iCs/>
        </w:rPr>
      </w:pPr>
    </w:p>
    <w:p w14:paraId="5AD52C04" w14:textId="77777777" w:rsidR="001D1F0B" w:rsidRDefault="001D1F0B" w:rsidP="001D1F0B">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Al día de la fecha no se encuentra constituido el Consejo de Participación Social por lo que habrá de ser la Junta General del Consorcio quien examine las cuentas, se expongan a información pública y posteriormente apruebe las mismas.</w:t>
      </w:r>
    </w:p>
    <w:p w14:paraId="3F068EB0" w14:textId="77777777" w:rsidR="001D1F0B" w:rsidRDefault="001D1F0B" w:rsidP="001D1F0B">
      <w:pPr>
        <w:ind w:right="-568" w:firstLine="284"/>
        <w:jc w:val="both"/>
        <w:rPr>
          <w:rFonts w:ascii="AytoRoquetas Light Condensed" w:eastAsia="Times New Roman" w:hAnsi="AytoRoquetas Light Condensed" w:cs="Arial"/>
          <w:i/>
          <w:iCs/>
        </w:rPr>
      </w:pPr>
    </w:p>
    <w:p w14:paraId="799CCBBA" w14:textId="77777777" w:rsidR="001D1F0B" w:rsidRDefault="001D1F0B" w:rsidP="001D1F0B">
      <w:pPr>
        <w:ind w:right="-568" w:firstLine="284"/>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Confeccionados los estados que componen la Cuenta General de la Entidad Local, correspondiente al ejercicio 2022, y una vez llevada a cabo la comprobación y análisis de los mismos, preparada la documentación complementaria exigida por la normativa vigente y una vez aprobada la liquidación del presupuesto del ejercicio 2022, mediante Decreto de Presidencia de 10 de febrero de 2023,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14:paraId="4DD0B06F" w14:textId="77777777" w:rsidR="001D1F0B" w:rsidRDefault="001D1F0B" w:rsidP="001D1F0B">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57"/>
        <w:jc w:val="center"/>
        <w:rPr>
          <w:rFonts w:ascii="AytoRoquetas Light Condensed" w:eastAsia="Times New Roman" w:hAnsi="AytoRoquetas Light Condensed" w:cs="Arial"/>
          <w:b/>
          <w:bCs/>
          <w:i/>
          <w:iCs/>
        </w:rPr>
      </w:pPr>
      <w:r>
        <w:rPr>
          <w:rFonts w:ascii="AytoRoquetas Light Condensed" w:eastAsia="Times New Roman" w:hAnsi="AytoRoquetas Light Condensed" w:cs="Arial"/>
          <w:b/>
          <w:bCs/>
          <w:i/>
          <w:iCs/>
        </w:rPr>
        <w:t>INFORME</w:t>
      </w:r>
    </w:p>
    <w:p w14:paraId="5A0D75C1" w14:textId="77777777" w:rsidR="001D1F0B" w:rsidRDefault="001D1F0B" w:rsidP="001D1F0B">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3" w:right="57" w:firstLine="685"/>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PRIMERO.</w:t>
      </w:r>
      <w:r>
        <w:rPr>
          <w:rFonts w:ascii="AytoRoquetas Light Condensed" w:eastAsia="Times New Roman" w:hAnsi="AytoRoquetas Light Condensed" w:cs="Arial"/>
          <w:i/>
          <w:iCs/>
        </w:rPr>
        <w:t xml:space="preserve"> La Legislación aplicable es la siguiente:</w:t>
      </w:r>
    </w:p>
    <w:p w14:paraId="516B4860" w14:textId="77777777" w:rsidR="001D1F0B" w:rsidRDefault="001D1F0B" w:rsidP="001D1F0B">
      <w:pPr>
        <w:spacing w:after="120"/>
        <w:ind w:left="23" w:right="57" w:firstLine="696"/>
        <w:rPr>
          <w:rFonts w:ascii="AytoRoquetas Light Condensed" w:eastAsia="Times New Roman" w:hAnsi="AytoRoquetas Light Condensed" w:cs="Arial"/>
          <w:i/>
          <w:iCs/>
        </w:rPr>
      </w:pPr>
    </w:p>
    <w:p w14:paraId="1BC46DDC" w14:textId="77777777" w:rsidR="001D1F0B" w:rsidRDefault="001D1F0B" w:rsidP="001D1F0B">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Los artículos 22.2 e) y 116 de la Ley 7/1985, de 2 de abril, Reguladora de las Bases del Régimen Local.</w:t>
      </w:r>
    </w:p>
    <w:p w14:paraId="59B74260" w14:textId="77777777" w:rsidR="001D1F0B" w:rsidRDefault="001D1F0B" w:rsidP="001D1F0B">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Ley 40/2015, de 1 de octubre, de Régimen Jurídico del Sector Público.</w:t>
      </w:r>
    </w:p>
    <w:p w14:paraId="667A3237" w14:textId="77777777" w:rsidR="001D1F0B" w:rsidRDefault="001D1F0B" w:rsidP="001D1F0B">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Los artículos 208 a 212 del Texto Refundido de la Ley Reguladora de las Haciendas Locales aprobado por Real Decreto Legislativo 2/2004, de 5 de marzo.</w:t>
      </w:r>
    </w:p>
    <w:p w14:paraId="78E563E9" w14:textId="77777777" w:rsidR="001D1F0B" w:rsidRDefault="001D1F0B" w:rsidP="001D1F0B">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artículo 119.3 de la Ley 47/2003, de 26 de noviembre, General Presupuestaria.</w:t>
      </w:r>
    </w:p>
    <w:p w14:paraId="1336CC1F" w14:textId="77777777" w:rsidR="001D1F0B" w:rsidRDefault="001D1F0B" w:rsidP="001D1F0B">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Las Reglas 44 y siguientes de la Orden HAP/1781/2013, de 20 de septiembre, por la que se aprueba la Instrucción del Modelo Normal de Contabilidad Local.</w:t>
      </w:r>
    </w:p>
    <w:p w14:paraId="38417916" w14:textId="77777777" w:rsidR="001D1F0B" w:rsidRDefault="001D1F0B" w:rsidP="001D1F0B">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Resolución de 28 de julio de 2006, de la Intervención General de la Administración del Estado, por la que se recomienda un formato normalizado de la cuenta general de las entidades locales en soporte informático que facilite su rendición.</w:t>
      </w:r>
    </w:p>
    <w:p w14:paraId="42CF00D5" w14:textId="77777777" w:rsidR="001D1F0B" w:rsidRDefault="001D1F0B" w:rsidP="001D1F0B">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La Orden EHA/3565/2008, de 3 de diciembre, por la que se Aprueba la Estructura de los Presupuestos de las Entidades Locales, modificada por la Orden HAP/419/2014, de 14 de marzo.</w:t>
      </w:r>
    </w:p>
    <w:p w14:paraId="1A5FBBEE" w14:textId="77777777" w:rsidR="001D1F0B" w:rsidRDefault="001D1F0B" w:rsidP="001D1F0B">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65B9570D" w14:textId="77777777" w:rsidR="001D1F0B" w:rsidRDefault="001D1F0B" w:rsidP="001D1F0B">
      <w:pPr>
        <w:numPr>
          <w:ilvl w:val="0"/>
          <w:numId w:val="1"/>
        </w:numPr>
        <w:autoSpaceDE/>
        <w:autoSpaceDN/>
        <w:adjustRightInd/>
        <w:spacing w:after="0"/>
        <w:ind w:left="426" w:right="57" w:hanging="284"/>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Convenio de 21 de abril de 2015, entre la Cámara de Cuentas de Andalucía y el Tribunal de Cuentas para la coordinación de la rendición telemática de las Cuentas Generales de las entidades locales andaluzas.</w:t>
      </w:r>
    </w:p>
    <w:p w14:paraId="124D7367" w14:textId="77777777" w:rsidR="001D1F0B" w:rsidRDefault="001D1F0B" w:rsidP="001D1F0B">
      <w:pPr>
        <w:ind w:left="24" w:right="57" w:hanging="284"/>
        <w:jc w:val="both"/>
        <w:rPr>
          <w:rFonts w:ascii="AytoRoquetas Light Condensed" w:eastAsia="Times New Roman" w:hAnsi="AytoRoquetas Light Condensed" w:cs="Arial"/>
          <w:b/>
          <w:bCs/>
          <w:i/>
          <w:iCs/>
        </w:rPr>
      </w:pPr>
    </w:p>
    <w:p w14:paraId="4050FC8D"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SEGUNDO.</w:t>
      </w:r>
      <w:r>
        <w:rPr>
          <w:rFonts w:ascii="AytoRoquetas Light Condensed" w:eastAsia="Times New Roman" w:hAnsi="AytoRoquetas Light Condensed" w:cs="Arial"/>
          <w:i/>
          <w:iC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7DF587A8" w14:textId="77777777" w:rsidR="001D1F0B" w:rsidRDefault="001D1F0B" w:rsidP="001D1F0B">
      <w:pPr>
        <w:ind w:left="24" w:right="57" w:firstLine="696"/>
        <w:jc w:val="both"/>
        <w:rPr>
          <w:rFonts w:ascii="AytoRoquetas Light Condensed" w:eastAsia="Times New Roman" w:hAnsi="AytoRoquetas Light Condensed" w:cs="Arial"/>
          <w:i/>
          <w:iCs/>
        </w:rPr>
      </w:pPr>
    </w:p>
    <w:p w14:paraId="4F624173"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113F8A06" w14:textId="77777777" w:rsidR="001D1F0B" w:rsidRDefault="001D1F0B" w:rsidP="001D1F0B">
      <w:pPr>
        <w:widowControl w:val="0"/>
        <w:ind w:firstLine="708"/>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TERCERO.</w:t>
      </w:r>
      <w:r>
        <w:rPr>
          <w:rFonts w:ascii="AytoRoquetas Light Condensed" w:eastAsia="Times New Roman" w:hAnsi="AytoRoquetas Light Condensed" w:cs="Arial"/>
          <w:i/>
          <w:iC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14:paraId="4D9ED102"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CUARTO.</w:t>
      </w:r>
      <w:r>
        <w:rPr>
          <w:rFonts w:ascii="AytoRoquetas Light Condensed" w:eastAsia="Times New Roman" w:hAnsi="AytoRoquetas Light Condensed" w:cs="Arial"/>
          <w:i/>
          <w:iC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60C528D8"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QUINTO.</w:t>
      </w:r>
      <w:r>
        <w:rPr>
          <w:rFonts w:ascii="AytoRoquetas Light Condensed" w:eastAsia="Times New Roman" w:hAnsi="AytoRoquetas Light Condensed" w:cs="Arial"/>
          <w:i/>
          <w:iCs/>
        </w:rPr>
        <w:t xml:space="preserve"> Las cuentas anuales que integran la Cuenta de la propia entidad son las siguientes:</w:t>
      </w:r>
    </w:p>
    <w:p w14:paraId="06BCCE9F"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 El Balance.</w:t>
      </w:r>
    </w:p>
    <w:p w14:paraId="144F6FAC"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b) La Cuenta del resultado económico-patrimonial.</w:t>
      </w:r>
    </w:p>
    <w:p w14:paraId="467BDF05"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 El Estado de cambios en el patrimonio neto.</w:t>
      </w:r>
    </w:p>
    <w:p w14:paraId="19278BE0"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d) El Estado de flujos de efectivo.</w:t>
      </w:r>
    </w:p>
    <w:p w14:paraId="1D2DC7AD"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 El Estado de Liquidación del Presupuesto.</w:t>
      </w:r>
    </w:p>
    <w:p w14:paraId="0051ED47"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f) La Memoria.</w:t>
      </w:r>
    </w:p>
    <w:p w14:paraId="62085D76" w14:textId="77777777" w:rsidR="001D1F0B" w:rsidRDefault="001D1F0B" w:rsidP="001D1F0B">
      <w:pPr>
        <w:ind w:left="24" w:right="57"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 las cuentas anuales del Consorcio deberá unirse la siguiente documentación:</w:t>
      </w:r>
    </w:p>
    <w:p w14:paraId="75F65933" w14:textId="77777777" w:rsidR="001D1F0B" w:rsidRDefault="001D1F0B" w:rsidP="001D1F0B">
      <w:pPr>
        <w:numPr>
          <w:ilvl w:val="0"/>
          <w:numId w:val="1"/>
        </w:numPr>
        <w:autoSpaceDE/>
        <w:autoSpaceDN/>
        <w:adjustRightInd/>
        <w:spacing w:after="0"/>
        <w:ind w:right="57"/>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Actas de arqueo de las existencias en Caja referidas a fin de ejercicio. </w:t>
      </w:r>
    </w:p>
    <w:p w14:paraId="06C8DFE2" w14:textId="77777777" w:rsidR="001D1F0B" w:rsidRDefault="001D1F0B" w:rsidP="001D1F0B">
      <w:pPr>
        <w:ind w:right="57"/>
        <w:jc w:val="both"/>
        <w:rPr>
          <w:rFonts w:ascii="AytoRoquetas Light Condensed" w:eastAsia="Times New Roman" w:hAnsi="AytoRoquetas Light Condensed" w:cs="Arial"/>
          <w:i/>
          <w:iCs/>
        </w:rPr>
      </w:pPr>
    </w:p>
    <w:p w14:paraId="6341995F" w14:textId="77777777" w:rsidR="001D1F0B" w:rsidRDefault="001D1F0B" w:rsidP="001D1F0B">
      <w:pPr>
        <w:ind w:right="57"/>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b/>
        <w:t>El Acta de arqueo sólo ha de incluir las existencias en Caja a fin de ejercicio, y su comprobación con los datos que arroja la contabilidad. No forman parte del Acta de Arqueo las existencias en cuentas abiertas en entidades de crédito.</w:t>
      </w:r>
    </w:p>
    <w:p w14:paraId="324AC33C" w14:textId="77777777" w:rsidR="001D1F0B" w:rsidRDefault="001D1F0B" w:rsidP="001D1F0B">
      <w:pPr>
        <w:ind w:right="57"/>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w:t>
      </w:r>
      <w:r>
        <w:rPr>
          <w:rFonts w:ascii="AytoRoquetas Light Condensed" w:eastAsia="Times New Roman" w:hAnsi="AytoRoquetas Light Condensed" w:cs="Arial"/>
          <w:i/>
          <w:iCs/>
        </w:rPr>
        <w:t xml:space="preserve"> </w:t>
      </w:r>
      <w:r>
        <w:rPr>
          <w:rFonts w:ascii="AytoRoquetas Light Condensed" w:eastAsia="Times New Roman" w:hAnsi="AytoRoquetas Light Condensed" w:cs="Arial"/>
          <w:i/>
          <w:iCs/>
        </w:rPr>
        <w:t>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7930B4B4" w14:textId="77777777" w:rsidR="001D1F0B" w:rsidRDefault="001D1F0B" w:rsidP="001D1F0B">
      <w:pPr>
        <w:widowControl w:val="0"/>
        <w:ind w:left="24" w:firstLine="685"/>
        <w:jc w:val="both"/>
        <w:rPr>
          <w:rFonts w:ascii="AytoRoquetas Light Condensed" w:eastAsia="Times New Roman" w:hAnsi="AytoRoquetas Light Condensed" w:cs="Arial"/>
          <w:i/>
          <w:iCs/>
        </w:rPr>
      </w:pPr>
      <w:r>
        <w:rPr>
          <w:rFonts w:ascii="AytoRoquetas Light Condensed" w:eastAsia="Times New Roman" w:hAnsi="AytoRoquetas Light Condensed" w:cs="Arial"/>
          <w:b/>
          <w:bCs/>
          <w:i/>
          <w:iCs/>
        </w:rPr>
        <w:t>SEXTO.</w:t>
      </w:r>
      <w:r>
        <w:rPr>
          <w:rFonts w:ascii="AytoRoquetas Light Condensed" w:eastAsia="Times New Roman" w:hAnsi="AytoRoquetas Light Condensed" w:cs="Arial"/>
          <w:i/>
          <w:iC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5C914A69" w14:textId="77777777" w:rsidR="001D1F0B" w:rsidRDefault="001D1F0B" w:rsidP="001D1F0B">
      <w:pPr>
        <w:ind w:firstLine="696"/>
        <w:jc w:val="both"/>
        <w:rPr>
          <w:rFonts w:ascii="AytoRoquetas Light Condensed" w:eastAsia="Times New Roman" w:hAnsi="AytoRoquetas Light Condensed" w:cs="Arial"/>
          <w:i/>
          <w:iCs/>
        </w:rPr>
      </w:pPr>
      <w:r>
        <w:rPr>
          <w:rFonts w:ascii="AytoRoquetas Light Condensed" w:eastAsia="Times New Roman" w:hAnsi="AytoRoquetas Light Condensed" w:cs="Arial"/>
          <w:b/>
          <w:i/>
          <w:iCs/>
        </w:rPr>
        <w:t>SÉPTIMO.</w:t>
      </w:r>
      <w:r>
        <w:rPr>
          <w:rFonts w:ascii="AytoRoquetas Light Condensed" w:eastAsia="Times New Roman" w:hAnsi="AytoRoquetas Light Condensed" w:cs="Arial"/>
          <w:i/>
          <w:iC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4CE08313" w14:textId="77777777" w:rsidR="001D1F0B" w:rsidRDefault="001D1F0B" w:rsidP="001D1F0B">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Pr>
          <w:rFonts w:ascii="AytoRoquetas Light Condensed" w:eastAsia="Times New Roman" w:hAnsi="AytoRoquetas Light Condensed" w:cs="Arial"/>
          <w:b/>
          <w:bCs/>
          <w:i/>
          <w:iCs/>
        </w:rPr>
        <w:t xml:space="preserve">  </w:t>
      </w:r>
      <w:r>
        <w:rPr>
          <w:rFonts w:ascii="AytoRoquetas Light Condensed" w:eastAsia="Times New Roman" w:hAnsi="AytoRoquetas Light Condensed" w:cs="Arial"/>
          <w:i/>
          <w:iCs/>
        </w:rPr>
        <w:t>Se deberá remitir una vez aprobada definitivamente la Cuenta General del Consorcio al Ayuntamiento de Roquetas de Mar, para completar y remitir a la Cámara de Cuentas.</w:t>
      </w:r>
    </w:p>
    <w:p w14:paraId="5C113D14" w14:textId="77777777" w:rsidR="001D1F0B" w:rsidRDefault="001D1F0B" w:rsidP="001D1F0B">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b/>
          <w:i/>
          <w:iCs/>
        </w:rPr>
        <w:t>OCTAVO.</w:t>
      </w:r>
      <w:r>
        <w:rPr>
          <w:rFonts w:ascii="AytoRoquetas Light Condensed" w:eastAsia="Times New Roman" w:hAnsi="AytoRoquetas Light Condensed" w:cs="Arial"/>
          <w:i/>
          <w:iCs/>
        </w:rPr>
        <w:t xml:space="preserve"> Una vez formada y analizada la Cuenta General del ejercicio 2022, se procede al análisis y evaluación de las conclusiones y recomendaciones, de forma que se lleve a cabo una planificación del trabajo a realizar para implementar dichas recomendaciones.</w:t>
      </w:r>
    </w:p>
    <w:p w14:paraId="1C61058E" w14:textId="77777777" w:rsidR="001D1F0B" w:rsidRDefault="001D1F0B" w:rsidP="001D1F0B">
      <w:pPr>
        <w:jc w:val="both"/>
        <w:rPr>
          <w:rFonts w:ascii="AytoRoquetas Light Condensed" w:eastAsia="Times New Roman" w:hAnsi="AytoRoquetas Light Condensed" w:cs="Arial"/>
          <w:i/>
          <w:iCs/>
        </w:rPr>
      </w:pPr>
    </w:p>
    <w:p w14:paraId="511ED188" w14:textId="77777777" w:rsidR="001D1F0B" w:rsidRDefault="001D1F0B" w:rsidP="001D1F0B">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Consorcio deberán remitir al Ayuntamiento de Roquetas de Mar una vez aprobada la Cuenta General para su incorporación y remisión a la Cámara de Cuentas- </w:t>
      </w:r>
    </w:p>
    <w:p w14:paraId="26592A0C" w14:textId="77777777" w:rsidR="001D1F0B" w:rsidRDefault="001D1F0B" w:rsidP="001D1F0B">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45AEC774" w14:textId="77777777" w:rsidR="001D1F0B" w:rsidRDefault="001D1F0B" w:rsidP="001D1F0B">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El Consorcio no dispone de un inventario de bienes, lo cual impide un adecuado registro contable del área de inmovilizado, al no poderse identificar, ni valorar los bienes y derechos que posee el Consorcio. </w:t>
      </w:r>
    </w:p>
    <w:p w14:paraId="7171D9CD" w14:textId="77777777" w:rsidR="001D1F0B" w:rsidRDefault="001D1F0B" w:rsidP="001D1F0B">
      <w:pPr>
        <w:numPr>
          <w:ilvl w:val="0"/>
          <w:numId w:val="2"/>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El Consorcio no posee más ingresos que los de carácter patrimonial procedentes del canon que las propias concesionarias abonan; asimismo se ha de concluir que las ordenanzas de ingresos,</w:t>
      </w:r>
      <w:r>
        <w:rPr>
          <w:rFonts w:ascii="AytoRoquetas Light Condensed" w:eastAsia="Times New Roman" w:hAnsi="AytoRoquetas Light Condensed" w:cs="Arial"/>
          <w:i/>
          <w:iCs/>
        </w:rPr>
        <w:t xml:space="preserve"> </w:t>
      </w:r>
      <w:r>
        <w:rPr>
          <w:rFonts w:ascii="AytoRoquetas Light Condensed" w:eastAsia="Times New Roman" w:hAnsi="AytoRoquetas Light Condensed" w:cs="Arial"/>
          <w:i/>
          <w:iCs/>
        </w:rPr>
        <w:t xml:space="preserve">que están siendo aplicadas no tienen un seguimiento adecuado en cuanto a la recaudación obtenida por parte de las diferentes entidades consorciadas en sus respectivos ámbitos. </w:t>
      </w:r>
    </w:p>
    <w:p w14:paraId="37BD7C4B" w14:textId="77777777" w:rsidR="001D1F0B" w:rsidRDefault="001D1F0B" w:rsidP="001D1F0B">
      <w:pPr>
        <w:autoSpaceDE/>
        <w:autoSpaceDN/>
        <w:adjustRightInd/>
        <w:spacing w:after="0"/>
        <w:ind w:left="1080"/>
        <w:contextualSpacing/>
        <w:jc w:val="both"/>
        <w:rPr>
          <w:rFonts w:ascii="AytoRoquetas Light Condensed" w:eastAsia="Times New Roman" w:hAnsi="AytoRoquetas Light Condensed" w:cs="Arial"/>
          <w:i/>
          <w:iCs/>
        </w:rPr>
      </w:pPr>
    </w:p>
    <w:p w14:paraId="7B561598" w14:textId="77777777" w:rsidR="001D1F0B" w:rsidRDefault="001D1F0B" w:rsidP="001D1F0B">
      <w:pPr>
        <w:numPr>
          <w:ilvl w:val="0"/>
          <w:numId w:val="2"/>
        </w:numPr>
        <w:autoSpaceDE/>
        <w:autoSpaceDN/>
        <w:adjustRightInd/>
        <w:spacing w:after="0"/>
        <w:contextualSpacing/>
        <w:jc w:val="both"/>
        <w:rPr>
          <w:rFonts w:ascii="AytoRoquetas Light Condensed" w:eastAsia="Times New Roman" w:hAnsi="AytoRoquetas Light Condensed" w:cs="Arial"/>
          <w:i/>
          <w:iCs/>
        </w:rPr>
      </w:pPr>
      <w:r w:rsidRPr="00D321B5">
        <w:rPr>
          <w:rFonts w:ascii="AytoRoquetas Light Condensed" w:eastAsia="Times New Roman" w:hAnsi="AytoRoquetas Light Condensed" w:cs="Arial"/>
          <w:i/>
          <w:iCs/>
        </w:rPr>
        <w:t>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 de eficacia y eficiencia del gasto público la creación de una Entidad que no posee recursos para cumplir con sus fines, por lo que se recomienda su transformación en Mancomunidad que preste los servicios de los tres Consorcios adscritos a este Ayuntamiento, tal como se recomienda mediante Decreto de 30 de junio de 2020, del Sr. Alcalde de Roquetas de Mar, notificado a los</w:t>
      </w:r>
      <w:r>
        <w:rPr>
          <w:rFonts w:ascii="AytoRoquetas Light Condensed" w:hAnsi="AytoRoquetas Light Condensed" w:cs="Arial"/>
          <w:i/>
          <w:iCs/>
        </w:rPr>
        <w:t xml:space="preserve"> </w:t>
      </w:r>
      <w:r>
        <w:rPr>
          <w:rFonts w:ascii="AytoRoquetas Light Condensed" w:eastAsia="Times New Roman" w:hAnsi="AytoRoquetas Light Condensed" w:cs="Arial"/>
          <w:i/>
          <w:iCs/>
        </w:rPr>
        <w:t xml:space="preserve">Presidentes de cada de los tres Consorcios, extremo éste que ya fue puesto de manifiesto por la Intervención con motivo de la aprobación de la Cuenta General del Consorcio correspondiente a los ejercicios 2020 y 2021. </w:t>
      </w:r>
    </w:p>
    <w:p w14:paraId="30876BF2" w14:textId="77777777" w:rsidR="001D1F0B" w:rsidRDefault="001D1F0B" w:rsidP="001D1F0B">
      <w:pPr>
        <w:ind w:left="1080"/>
        <w:contextualSpacing/>
        <w:jc w:val="both"/>
        <w:rPr>
          <w:rFonts w:ascii="AytoRoquetas Light Condensed" w:eastAsia="Times New Roman" w:hAnsi="AytoRoquetas Light Condensed" w:cs="Arial"/>
          <w:i/>
          <w:iCs/>
        </w:rPr>
      </w:pPr>
    </w:p>
    <w:p w14:paraId="5644E2FA" w14:textId="77777777" w:rsidR="001D1F0B" w:rsidRDefault="001D1F0B" w:rsidP="001D1F0B">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2BC47646" w14:textId="77777777" w:rsidR="001D1F0B" w:rsidRDefault="001D1F0B" w:rsidP="001D1F0B">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Asimismo, es necesario concluir:</w:t>
      </w:r>
    </w:p>
    <w:p w14:paraId="2AFA3306" w14:textId="77777777" w:rsidR="001D1F0B" w:rsidRDefault="001D1F0B" w:rsidP="001D1F0B">
      <w:pPr>
        <w:numPr>
          <w:ilvl w:val="0"/>
          <w:numId w:val="3"/>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Que se remiten todos los Estados Contables y la documentación complementaria exigidas por la normativa vigente.</w:t>
      </w:r>
    </w:p>
    <w:p w14:paraId="5B842D9E" w14:textId="77777777" w:rsidR="001D1F0B" w:rsidRDefault="001D1F0B" w:rsidP="001D1F0B">
      <w:pPr>
        <w:numPr>
          <w:ilvl w:val="0"/>
          <w:numId w:val="3"/>
        </w:numPr>
        <w:autoSpaceDE/>
        <w:autoSpaceDN/>
        <w:adjustRightInd/>
        <w:spacing w:after="0"/>
        <w:contextualSpacing/>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Que los expedientes, documentos y libros mencionados en el Título II de la Instrucción de Contabilidad se encuentran a disposición del Tribunal de Cuentas.</w:t>
      </w:r>
    </w:p>
    <w:p w14:paraId="78D6E854" w14:textId="77777777" w:rsidR="001D1F0B" w:rsidRDefault="001D1F0B" w:rsidP="001D1F0B">
      <w:pPr>
        <w:ind w:left="709"/>
        <w:jc w:val="both"/>
        <w:rPr>
          <w:rFonts w:ascii="AytoRoquetas Light Condensed" w:eastAsia="Times New Roman" w:hAnsi="AytoRoquetas Light Condensed" w:cs="Arial"/>
          <w:i/>
          <w:iCs/>
        </w:rPr>
      </w:pPr>
    </w:p>
    <w:p w14:paraId="679BC7DD" w14:textId="77777777" w:rsidR="001D1F0B" w:rsidRDefault="001D1F0B" w:rsidP="001D1F0B">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 xml:space="preserve">En virtud de todo lo expuesto en este Informe, </w:t>
      </w:r>
      <w:r>
        <w:rPr>
          <w:rFonts w:ascii="AytoRoquetas Light Condensed" w:eastAsia="Times New Roman" w:hAnsi="AytoRoquetas Light Condensed" w:cs="Arial"/>
          <w:b/>
          <w:bCs/>
          <w:i/>
          <w:iCs/>
          <w:u w:val="single"/>
        </w:rPr>
        <w:t>procede tramitar la Cuenta General del Consorcio correspondientes al ejercicio 2021</w:t>
      </w:r>
      <w:r>
        <w:rPr>
          <w:rFonts w:ascii="AytoRoquetas Light Condensed" w:eastAsia="Times New Roman" w:hAnsi="AytoRoquetas Light Condensed" w:cs="Arial"/>
          <w:i/>
          <w:iCs/>
        </w:rPr>
        <w:t>.</w:t>
      </w:r>
    </w:p>
    <w:p w14:paraId="5E4F521C" w14:textId="77777777" w:rsidR="001D1F0B" w:rsidRDefault="001D1F0B" w:rsidP="001D1F0B">
      <w:pPr>
        <w:ind w:firstLine="709"/>
        <w:jc w:val="both"/>
        <w:rPr>
          <w:rFonts w:ascii="AytoRoquetas Light Condensed" w:eastAsia="Times New Roman" w:hAnsi="AytoRoquetas Light Condensed" w:cs="Arial"/>
          <w:i/>
          <w:iCs/>
        </w:rPr>
      </w:pPr>
      <w:r>
        <w:rPr>
          <w:rFonts w:ascii="AytoRoquetas Light Condensed" w:eastAsia="Times New Roman" w:hAnsi="AytoRoquetas Light Condensed" w:cs="Arial"/>
          <w:i/>
          <w:iCs/>
        </w:rPr>
        <w:t>Es cuanto tengo el honor de informar, sin perjuicio de cualquier otra consideración mejor fundada en derecho.”</w:t>
      </w:r>
      <w:bookmarkStart w:id="1" w:name="_Hlk174962947"/>
      <w:bookmarkEnd w:id="1"/>
    </w:p>
    <w:p w14:paraId="240DDA6F" w14:textId="77777777" w:rsidR="001D1F0B" w:rsidRDefault="001D1F0B" w:rsidP="001D1F0B">
      <w:pPr>
        <w:pStyle w:val="Formatolibre"/>
        <w:spacing w:line="276" w:lineRule="auto"/>
        <w:jc w:val="both"/>
        <w:rPr>
          <w:rFonts w:ascii="AytoRoquetas Light Condensed" w:eastAsia="Times New Roman" w:hAnsi="AytoRoquetas Light Condensed"/>
          <w:bCs/>
          <w:color w:val="auto"/>
          <w:sz w:val="22"/>
          <w:szCs w:val="22"/>
          <w:lang w:val="es-ES"/>
        </w:rPr>
      </w:pPr>
    </w:p>
    <w:p w14:paraId="42819B22" w14:textId="77777777" w:rsidR="001D1F0B" w:rsidRPr="00D321B5" w:rsidRDefault="001D1F0B" w:rsidP="001D1F0B">
      <w:pPr>
        <w:pStyle w:val="Formatolibre"/>
        <w:spacing w:line="276" w:lineRule="auto"/>
        <w:ind w:firstLine="708"/>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 xml:space="preserve">Tras una breve intervención de la Sra. Interventora del Consorcio para explicar el contenido de la proposición, La JUNTA GENERAL una vez transcurrido el plazo de exposición pública y no habiéndose producido ninguna observación ni reclamación (B.O.P. de Almería Núm. 248 de 30 de diciembre de 2023), ha resuelto por unanimidad de los miembros asistentes APROBAR la Cuenta General del ejercicio 2022. </w:t>
      </w:r>
    </w:p>
    <w:p w14:paraId="006F16BC" w14:textId="012933C8" w:rsidR="00C57CD4" w:rsidRDefault="00C57CD4" w:rsidP="001D1F0B">
      <w:pPr>
        <w:spacing w:line="288" w:lineRule="auto"/>
        <w:ind w:firstLine="1134"/>
        <w:jc w:val="both"/>
        <w:rPr>
          <w:rFonts w:ascii="AytoRoquetas Light Condensed" w:hAnsi="AytoRoquetas Light Condensed" w:cs="AytoRoquetas Light Condensed"/>
          <w:sz w:val="20"/>
          <w:szCs w:val="20"/>
        </w:rPr>
      </w:pPr>
    </w:p>
    <w:p w14:paraId="624287F3" w14:textId="77777777" w:rsidR="001D1F0B" w:rsidRPr="003645B5" w:rsidRDefault="001D1F0B" w:rsidP="001D1F0B">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2D664D65" w14:textId="77777777" w:rsidR="001D1F0B" w:rsidRPr="003645B5" w:rsidRDefault="001D1F0B" w:rsidP="001D1F0B">
      <w:pPr>
        <w:spacing w:after="0" w:line="288" w:lineRule="auto"/>
        <w:contextualSpacing/>
        <w:jc w:val="both"/>
        <w:rPr>
          <w:rFonts w:ascii="AytoRoquetas Light Condensed" w:hAnsi="AytoRoquetas Light Condensed"/>
          <w:szCs w:val="20"/>
        </w:rPr>
      </w:pPr>
    </w:p>
    <w:p w14:paraId="48B3E68B" w14:textId="77777777" w:rsidR="001D1F0B" w:rsidRPr="003645B5" w:rsidRDefault="001D1F0B" w:rsidP="001D1F0B">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4A7F003E" w14:textId="77777777" w:rsidR="001D1F0B" w:rsidRDefault="001D1F0B" w:rsidP="001D1F0B">
      <w:pPr>
        <w:spacing w:line="288" w:lineRule="auto"/>
        <w:ind w:firstLine="1134"/>
        <w:jc w:val="both"/>
        <w:rPr>
          <w:rFonts w:ascii="AytoRoquetas Light Condensed" w:hAnsi="AytoRoquetas Light Condensed" w:cs="AytoRoquetas Light Condensed"/>
          <w:sz w:val="20"/>
          <w:szCs w:val="20"/>
        </w:rPr>
      </w:pPr>
    </w:p>
    <w:sectPr w:rsidR="001D1F0B">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F16C6" w14:textId="77777777" w:rsidR="001D1F0B" w:rsidRDefault="001D1F0B">
      <w:pPr>
        <w:spacing w:after="0" w:line="240" w:lineRule="auto"/>
      </w:pPr>
      <w:r>
        <w:separator/>
      </w:r>
    </w:p>
  </w:endnote>
  <w:endnote w:type="continuationSeparator" w:id="0">
    <w:p w14:paraId="006F16C8" w14:textId="77777777" w:rsidR="001D1F0B" w:rsidRDefault="001D1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16C1" w14:textId="77777777" w:rsidR="00C57CD4" w:rsidRDefault="001D1F0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F16C2" w14:textId="77777777" w:rsidR="001D1F0B" w:rsidRDefault="001D1F0B">
      <w:pPr>
        <w:spacing w:after="0" w:line="240" w:lineRule="auto"/>
      </w:pPr>
      <w:r>
        <w:separator/>
      </w:r>
    </w:p>
  </w:footnote>
  <w:footnote w:type="continuationSeparator" w:id="0">
    <w:p w14:paraId="006F16C4" w14:textId="77777777" w:rsidR="001D1F0B" w:rsidRDefault="001D1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16BD" w14:textId="77777777" w:rsidR="00C57CD4" w:rsidRDefault="001D1F0B">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006F16C2">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006F16C4" w14:textId="77777777" w:rsidR="00C57CD4" w:rsidRDefault="001D1F0B">
                <w:pPr>
                  <w:spacing w:after="0" w:line="240" w:lineRule="atLeast"/>
                  <w:rPr>
                    <w:color w:val="1D8FC7"/>
                    <w:sz w:val="16"/>
                    <w:szCs w:val="16"/>
                  </w:rPr>
                </w:pPr>
                <w:r>
                  <w:rPr>
                    <w:color w:val="1D8FC7"/>
                    <w:sz w:val="16"/>
                    <w:szCs w:val="16"/>
                  </w:rPr>
                  <w:t>Plaza de la Constituci</w:t>
                </w:r>
                <w:r>
                  <w:rPr>
                    <w:color w:val="1D8FC7"/>
                    <w:sz w:val="16"/>
                    <w:szCs w:val="16"/>
                  </w:rPr>
                  <w:t>ón, 1</w:t>
                </w:r>
              </w:p>
              <w:p w14:paraId="006F16C5" w14:textId="77777777" w:rsidR="00C57CD4" w:rsidRDefault="001D1F0B">
                <w:pPr>
                  <w:spacing w:after="0" w:line="240" w:lineRule="atLeast"/>
                  <w:rPr>
                    <w:color w:val="1D8FC7"/>
                    <w:sz w:val="16"/>
                    <w:szCs w:val="16"/>
                  </w:rPr>
                </w:pPr>
                <w:r>
                  <w:rPr>
                    <w:color w:val="1D8FC7"/>
                    <w:sz w:val="16"/>
                    <w:szCs w:val="16"/>
                  </w:rPr>
                  <w:t>04740 Roquetas de Mar, Almería</w:t>
                </w:r>
              </w:p>
              <w:p w14:paraId="006F16C6" w14:textId="77777777" w:rsidR="00C57CD4" w:rsidRDefault="001D1F0B">
                <w:pPr>
                  <w:spacing w:after="0" w:line="240" w:lineRule="atLeast"/>
                  <w:rPr>
                    <w:color w:val="1D8FC7"/>
                    <w:sz w:val="16"/>
                    <w:szCs w:val="16"/>
                  </w:rPr>
                </w:pPr>
                <w:r>
                  <w:rPr>
                    <w:color w:val="1D8FC7"/>
                    <w:sz w:val="16"/>
                    <w:szCs w:val="16"/>
                  </w:rPr>
                  <w:t>Tels.: 950 33 85 85 – 950 33 86 19</w:t>
                </w:r>
              </w:p>
              <w:p w14:paraId="006F16C7" w14:textId="77777777" w:rsidR="00C57CD4" w:rsidRDefault="001D1F0B">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006F16BE" w14:textId="77777777" w:rsidR="00C57CD4" w:rsidRDefault="001D1F0B">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006F1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006F16BF" w14:textId="77777777" w:rsidR="00C57CD4" w:rsidRDefault="00C57CD4">
    <w:pPr>
      <w:pStyle w:val="Encabezado28"/>
      <w:rPr>
        <w:rFonts w:ascii="AytoRoquetas Light Condensed" w:hAnsi="AytoRoquetas Light Condensed" w:cs="AytoRoquetas Light Condensed"/>
      </w:rPr>
    </w:pPr>
  </w:p>
  <w:p w14:paraId="006F16C0" w14:textId="77777777" w:rsidR="00C57CD4" w:rsidRDefault="00C57CD4">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676498934">
    <w:abstractNumId w:val="0"/>
  </w:num>
  <w:num w:numId="2" w16cid:durableId="2082866343">
    <w:abstractNumId w:val="1"/>
  </w:num>
  <w:num w:numId="3" w16cid:durableId="1212959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57CD4"/>
    <w:rsid w:val="001133F6"/>
    <w:rsid w:val="001D1F0B"/>
    <w:rsid w:val="00C57C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006F16AE"/>
  <w15:docId w15:val="{0D49011B-7A07-427E-9744-274B9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1D1F0B"/>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1D1F0B"/>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1D1F0B"/>
    <w:rPr>
      <w:rFonts w:ascii="Times New Roman" w:eastAsia="Times New Roman" w:hAnsi="Times New Roman" w:cs="Times New Roman"/>
      <w:b/>
      <w:sz w:val="24"/>
      <w:lang w:eastAsia="es-ES"/>
    </w:rPr>
  </w:style>
  <w:style w:type="paragraph" w:customStyle="1" w:styleId="Formatolibre">
    <w:name w:val="Formato libre"/>
    <w:qFormat/>
    <w:rsid w:val="001D1F0B"/>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1989</Words>
  <Characters>10940</Characters>
  <Application>Microsoft Office Word</Application>
  <DocSecurity>0</DocSecurity>
  <Lines>91</Lines>
  <Paragraphs>25</Paragraphs>
  <ScaleCrop>false</ScaleCrop>
  <Company/>
  <LinksUpToDate>false</LinksUpToDate>
  <CharactersWithSpaces>12904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2024-09-16T11:11:00Z</dcterms:created>
  <dcterms:modified xsi:type="dcterms:W3CDTF">2024-09-16T11:15:00Z</dcterms:modified>
</cp:coreProperties>
</file>