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24FF6" w14:textId="77777777" w:rsidR="008A55B1" w:rsidRPr="003645B5" w:rsidRDefault="008A55B1" w:rsidP="008A55B1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3C028DF3" w14:textId="77777777" w:rsidR="008A55B1" w:rsidRPr="003645B5" w:rsidRDefault="008A55B1" w:rsidP="008A55B1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490C673D" w14:textId="77777777" w:rsidR="008A55B1" w:rsidRPr="003645B5" w:rsidRDefault="008A55B1" w:rsidP="008A55B1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>
        <w:rPr>
          <w:color w:val="auto"/>
          <w:sz w:val="22"/>
          <w:szCs w:val="22"/>
        </w:rPr>
        <w:t>14</w:t>
      </w:r>
      <w:r w:rsidRPr="003645B5">
        <w:rPr>
          <w:color w:val="auto"/>
          <w:sz w:val="22"/>
          <w:szCs w:val="22"/>
        </w:rPr>
        <w:t xml:space="preserve"> de </w:t>
      </w:r>
      <w:r>
        <w:rPr>
          <w:color w:val="auto"/>
          <w:sz w:val="22"/>
          <w:szCs w:val="22"/>
        </w:rPr>
        <w:t>agosto</w:t>
      </w:r>
      <w:r w:rsidRPr="003645B5">
        <w:rPr>
          <w:color w:val="auto"/>
          <w:sz w:val="22"/>
          <w:szCs w:val="22"/>
        </w:rPr>
        <w:t xml:space="preserve"> de 202</w:t>
      </w:r>
      <w:r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, adoptó entre otros el Acuerdo del siguiente tenor literal: </w:t>
      </w:r>
    </w:p>
    <w:p w14:paraId="7BE15F55" w14:textId="77777777" w:rsidR="008A55B1" w:rsidRPr="003645B5" w:rsidRDefault="008A55B1" w:rsidP="008A55B1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1013275C" w14:textId="77777777" w:rsidR="008A55B1" w:rsidRDefault="008A55B1" w:rsidP="008A55B1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  <w:r>
        <w:rPr>
          <w:rFonts w:ascii="AytoRoquetas Light Condensed" w:hAnsi="AytoRoquetas Light Condensed"/>
          <w:b/>
          <w:bCs/>
          <w:sz w:val="22"/>
          <w:lang w:val="es-ES"/>
        </w:rPr>
        <w:t>15.</w:t>
      </w:r>
      <w:r>
        <w:rPr>
          <w:rFonts w:ascii="AytoRoquetas Light Condensed" w:hAnsi="AytoRoquetas Light Condensed"/>
          <w:sz w:val="22"/>
          <w:lang w:val="es-ES"/>
        </w:rPr>
        <w:t xml:space="preserve"> </w:t>
      </w:r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 xml:space="preserve">PROPOSICIÓN relativa a la aprobación del Plan de Control de Vertidos a la red de saneamiento a la que da cobertura la ERAR </w:t>
      </w:r>
      <w:proofErr w:type="spellStart"/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>Balerma</w:t>
      </w:r>
      <w:proofErr w:type="spellEnd"/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 xml:space="preserve"> para el año 2024.</w:t>
      </w:r>
    </w:p>
    <w:p w14:paraId="49D9A20E" w14:textId="77777777" w:rsidR="008A55B1" w:rsidRDefault="008A55B1" w:rsidP="008A55B1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</w:p>
    <w:p w14:paraId="3D2ABE50" w14:textId="77777777" w:rsidR="008A55B1" w:rsidRDefault="008A55B1" w:rsidP="008A55B1">
      <w:pPr>
        <w:pStyle w:val="Formatolibre"/>
        <w:spacing w:line="276" w:lineRule="auto"/>
        <w:jc w:val="both"/>
        <w:rPr>
          <w:rFonts w:ascii="AytoRoquetas Light Condensed" w:hAnsi="AytoRoquetas Light Condensed"/>
          <w:spacing w:val="-1"/>
          <w:sz w:val="22"/>
          <w:szCs w:val="22"/>
        </w:rPr>
      </w:pP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 xml:space="preserve">Se da cuenta del Informe de fecha 16 de noviembre de 2023 realizado por Bárbara Vázquez Romero en relación con </w:t>
      </w:r>
      <w:r>
        <w:rPr>
          <w:rFonts w:ascii="AytoRoquetas Light Condensed" w:hAnsi="AytoRoquetas Light Condensed"/>
          <w:sz w:val="22"/>
          <w:szCs w:val="22"/>
        </w:rPr>
        <w:t>el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control</w:t>
      </w:r>
      <w:r>
        <w:rPr>
          <w:rFonts w:ascii="AytoRoquetas Light Condensed" w:hAnsi="AytoRoquetas Light Condensed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</w:t>
      </w:r>
      <w:r>
        <w:rPr>
          <w:rFonts w:ascii="AytoRoquetas Light Condensed" w:hAnsi="AytoRoquetas Light Condensed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vertidos</w:t>
      </w:r>
      <w:r>
        <w:rPr>
          <w:rFonts w:ascii="AytoRoquetas Light Condensed" w:hAnsi="AytoRoquetas Light Condensed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aguas</w:t>
      </w:r>
      <w:r>
        <w:rPr>
          <w:rFonts w:ascii="AytoRoquetas Light Condensed" w:hAnsi="AytoRoquetas Light Condensed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residuales</w:t>
      </w:r>
      <w:r>
        <w:rPr>
          <w:rFonts w:ascii="AytoRoquetas Light Condensed" w:hAnsi="AytoRoquetas Light Condensed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en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la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población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de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proofErr w:type="spellStart"/>
      <w:r>
        <w:rPr>
          <w:rFonts w:ascii="AytoRoquetas Light Condensed" w:hAnsi="AytoRoquetas Light Condensed"/>
          <w:sz w:val="22"/>
          <w:szCs w:val="22"/>
        </w:rPr>
        <w:t>Balerma</w:t>
      </w:r>
      <w:proofErr w:type="spellEnd"/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sz w:val="22"/>
          <w:szCs w:val="22"/>
        </w:rPr>
        <w:t>y</w:t>
      </w:r>
      <w:r>
        <w:rPr>
          <w:rFonts w:ascii="AytoRoquetas Light Condensed" w:hAnsi="AytoRoquetas Light Condensed"/>
          <w:spacing w:val="-11"/>
          <w:sz w:val="22"/>
          <w:szCs w:val="22"/>
        </w:rPr>
        <w:t xml:space="preserve"> </w:t>
      </w:r>
      <w:proofErr w:type="gramStart"/>
      <w:r>
        <w:rPr>
          <w:rFonts w:ascii="AytoRoquetas Light Condensed" w:hAnsi="AytoRoquetas Light Condensed"/>
          <w:sz w:val="22"/>
          <w:szCs w:val="22"/>
        </w:rPr>
        <w:t xml:space="preserve">zonas </w:t>
      </w:r>
      <w:r>
        <w:rPr>
          <w:rFonts w:ascii="AytoRoquetas Light Condensed" w:hAnsi="AytoRoquetas Light Condensed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spacing w:val="-1"/>
          <w:sz w:val="22"/>
          <w:szCs w:val="22"/>
        </w:rPr>
        <w:t>limítrofes</w:t>
      </w:r>
      <w:proofErr w:type="gramEnd"/>
      <w:r>
        <w:rPr>
          <w:rFonts w:ascii="AytoRoquetas Light Condensed" w:hAnsi="AytoRoquetas Light Condensed"/>
          <w:spacing w:val="-1"/>
          <w:sz w:val="22"/>
          <w:szCs w:val="22"/>
        </w:rPr>
        <w:t xml:space="preserve"> para el año 2024, del siguiente tenor literal:</w:t>
      </w:r>
    </w:p>
    <w:p w14:paraId="2BD3EAFD" w14:textId="77777777" w:rsidR="008A55B1" w:rsidRDefault="008A55B1" w:rsidP="008A55B1">
      <w:pPr>
        <w:pStyle w:val="Ttulo1"/>
        <w:spacing w:before="248" w:line="276" w:lineRule="auto"/>
        <w:rPr>
          <w:rFonts w:ascii="AytoRoquetas Light Condensed" w:hAnsi="AytoRoquetas Light Condensed"/>
          <w:b w:val="0"/>
          <w:bCs w:val="0"/>
          <w:sz w:val="22"/>
          <w:szCs w:val="22"/>
        </w:rPr>
      </w:pPr>
      <w:r>
        <w:rPr>
          <w:rFonts w:ascii="AytoRoquetas Light Condensed" w:hAnsi="AytoRoquetas Light Condensed"/>
          <w:b w:val="0"/>
          <w:bCs w:val="0"/>
          <w:w w:val="95"/>
          <w:sz w:val="22"/>
          <w:szCs w:val="22"/>
        </w:rPr>
        <w:t>“Resumen</w:t>
      </w:r>
    </w:p>
    <w:p w14:paraId="7BEAC346" w14:textId="77777777" w:rsidR="008A55B1" w:rsidRDefault="008A55B1" w:rsidP="008A55B1">
      <w:pPr>
        <w:pStyle w:val="Textoindependiente"/>
        <w:spacing w:before="8" w:line="276" w:lineRule="auto"/>
        <w:rPr>
          <w:rFonts w:ascii="AytoRoquetas Light Condensed" w:hAnsi="AytoRoquetas Light Condensed"/>
          <w:b w:val="0"/>
          <w:sz w:val="22"/>
          <w:szCs w:val="22"/>
        </w:rPr>
      </w:pPr>
    </w:p>
    <w:p w14:paraId="78524CB0" w14:textId="77777777" w:rsidR="008A55B1" w:rsidRDefault="008A55B1" w:rsidP="008A55B1">
      <w:pPr>
        <w:pStyle w:val="Textoindependiente"/>
        <w:spacing w:before="1" w:line="276" w:lineRule="auto"/>
        <w:ind w:left="101" w:right="114" w:firstLine="707"/>
        <w:rPr>
          <w:rFonts w:ascii="AytoRoquetas Light Condensed" w:hAnsi="AytoRoquetas Light Condensed"/>
          <w:b w:val="0"/>
          <w:sz w:val="22"/>
          <w:szCs w:val="22"/>
        </w:rPr>
      </w:pPr>
      <w:r>
        <w:rPr>
          <w:rFonts w:ascii="AytoRoquetas Light Condensed" w:hAnsi="AytoRoquetas Light Condensed"/>
          <w:b w:val="0"/>
          <w:w w:val="95"/>
          <w:sz w:val="22"/>
          <w:szCs w:val="22"/>
        </w:rPr>
        <w:t>El objeto del presente informe es planificar una serie de actuaciones para</w:t>
      </w:r>
      <w:r>
        <w:rPr>
          <w:rFonts w:ascii="AytoRoquetas Light Condensed" w:hAnsi="AytoRoquetas Light Condensed"/>
          <w:b w:val="0"/>
          <w:spacing w:val="-7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control</w:t>
      </w:r>
      <w:r>
        <w:rPr>
          <w:rFonts w:ascii="AytoRoquetas Light Condensed" w:hAnsi="AytoRoquetas Light Condensed"/>
          <w:b w:val="0"/>
          <w:spacing w:val="-1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vertidos</w:t>
      </w:r>
      <w:r>
        <w:rPr>
          <w:rFonts w:ascii="AytoRoquetas Light Condensed" w:hAnsi="AytoRoquetas Light Condensed"/>
          <w:b w:val="0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aguas</w:t>
      </w:r>
      <w:r>
        <w:rPr>
          <w:rFonts w:ascii="AytoRoquetas Light Condensed" w:hAnsi="AytoRoquetas Light Condensed"/>
          <w:b w:val="0"/>
          <w:spacing w:val="-1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residuales</w:t>
      </w:r>
      <w:r>
        <w:rPr>
          <w:rFonts w:ascii="AytoRoquetas Light Condensed" w:hAnsi="AytoRoquetas Light Condensed"/>
          <w:b w:val="0"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población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proofErr w:type="spellStart"/>
      <w:r>
        <w:rPr>
          <w:rFonts w:ascii="AytoRoquetas Light Condensed" w:hAnsi="AytoRoquetas Light Condensed"/>
          <w:b w:val="0"/>
          <w:sz w:val="22"/>
          <w:szCs w:val="22"/>
        </w:rPr>
        <w:t>Balerma</w:t>
      </w:r>
      <w:proofErr w:type="spellEnd"/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spacing w:val="-1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zonas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limítrofes,</w:t>
      </w:r>
      <w:r>
        <w:rPr>
          <w:rFonts w:ascii="AytoRoquetas Light Condensed" w:hAnsi="AytoRoquetas Light Condensed"/>
          <w:b w:val="0"/>
          <w:spacing w:val="-2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con</w:t>
      </w:r>
      <w:r>
        <w:rPr>
          <w:rFonts w:ascii="AytoRoquetas Light Condensed" w:hAnsi="AytoRoquetas Light Condensed"/>
          <w:b w:val="0"/>
          <w:spacing w:val="-2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spacing w:val="-2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fin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2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dar</w:t>
      </w:r>
      <w:r>
        <w:rPr>
          <w:rFonts w:ascii="AytoRoquetas Light Condensed" w:hAnsi="AytoRoquetas Light Condensed"/>
          <w:b w:val="0"/>
          <w:spacing w:val="-2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cumplimiento</w:t>
      </w:r>
      <w:r>
        <w:rPr>
          <w:rFonts w:ascii="AytoRoquetas Light Condensed" w:hAnsi="AytoRoquetas Light Condensed"/>
          <w:b w:val="0"/>
          <w:spacing w:val="-2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con</w:t>
      </w:r>
      <w:r>
        <w:rPr>
          <w:rFonts w:ascii="AytoRoquetas Light Condensed" w:hAnsi="AytoRoquetas Light Condensed"/>
          <w:b w:val="0"/>
          <w:spacing w:val="-2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lo</w:t>
      </w:r>
      <w:r>
        <w:rPr>
          <w:rFonts w:ascii="AytoRoquetas Light Condensed" w:hAnsi="AytoRoquetas Light Condensed"/>
          <w:b w:val="0"/>
          <w:spacing w:val="-2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establecido</w:t>
      </w:r>
      <w:r>
        <w:rPr>
          <w:rFonts w:ascii="AytoRoquetas Light Condensed" w:hAnsi="AytoRoquetas Light Condensed"/>
          <w:b w:val="0"/>
          <w:spacing w:val="-2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2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Ordenanza</w:t>
      </w:r>
      <w:r>
        <w:rPr>
          <w:rFonts w:ascii="AytoRoquetas Light Condensed" w:hAnsi="AytoRoquetas Light Condensed"/>
          <w:b w:val="0"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vertidos a la red de alcantarillado del Consorcio para la Gestión de los Servicios</w:t>
      </w:r>
      <w:r>
        <w:rPr>
          <w:rFonts w:ascii="AytoRoquetas Light Condensed" w:hAnsi="AytoRoquetas Light Condensed"/>
          <w:b w:val="0"/>
          <w:spacing w:val="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Integrados</w:t>
      </w:r>
      <w:r>
        <w:rPr>
          <w:rFonts w:ascii="AytoRoquetas Light Condensed" w:hAnsi="AytoRoquetas Light Condensed"/>
          <w:b w:val="0"/>
          <w:spacing w:val="-3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2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Abastecimiento</w:t>
      </w:r>
      <w:r>
        <w:rPr>
          <w:rFonts w:ascii="AytoRoquetas Light Condensed" w:hAnsi="AytoRoquetas Light Condensed"/>
          <w:b w:val="0"/>
          <w:spacing w:val="-3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3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agua</w:t>
      </w:r>
      <w:r>
        <w:rPr>
          <w:rFonts w:ascii="AytoRoquetas Light Condensed" w:hAnsi="AytoRoquetas Light Condensed"/>
          <w:b w:val="0"/>
          <w:spacing w:val="-2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spacing w:val="-3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saneamiento</w:t>
      </w:r>
      <w:r>
        <w:rPr>
          <w:rFonts w:ascii="AytoRoquetas Light Condensed" w:hAnsi="AytoRoquetas Light Condensed"/>
          <w:b w:val="0"/>
          <w:spacing w:val="-3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del</w:t>
      </w:r>
      <w:r>
        <w:rPr>
          <w:rFonts w:ascii="AytoRoquetas Light Condensed" w:hAnsi="AytoRoquetas Light Condensed"/>
          <w:b w:val="0"/>
          <w:spacing w:val="-2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pacing w:val="-1"/>
          <w:sz w:val="22"/>
          <w:szCs w:val="22"/>
        </w:rPr>
        <w:t>Poniente</w:t>
      </w:r>
      <w:r>
        <w:rPr>
          <w:rFonts w:ascii="AytoRoquetas Light Condensed" w:hAnsi="AytoRoquetas Light Condensed"/>
          <w:b w:val="0"/>
          <w:spacing w:val="-2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sz w:val="22"/>
          <w:szCs w:val="22"/>
        </w:rPr>
        <w:t>Almeriense,</w:t>
      </w:r>
      <w:r>
        <w:rPr>
          <w:rFonts w:ascii="AytoRoquetas Light Condensed" w:hAnsi="AytoRoquetas Light Condensed"/>
          <w:b w:val="0"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publicada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el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B.O.P.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Almería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número</w:t>
      </w:r>
      <w:r>
        <w:rPr>
          <w:rFonts w:ascii="AytoRoquetas Light Condensed" w:hAnsi="AytoRoquetas Light Condensed"/>
          <w:b w:val="0"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149,</w:t>
      </w:r>
      <w:r>
        <w:rPr>
          <w:rFonts w:ascii="AytoRoquetas Light Condensed" w:hAnsi="AytoRoquetas Light Condensed"/>
          <w:b w:val="0"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5</w:t>
      </w:r>
      <w:r>
        <w:rPr>
          <w:rFonts w:ascii="AytoRoquetas Light Condensed" w:hAnsi="AytoRoquetas Light Condensed"/>
          <w:b w:val="0"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agosto</w:t>
      </w:r>
      <w:r>
        <w:rPr>
          <w:rFonts w:ascii="AytoRoquetas Light Condensed" w:hAnsi="AytoRoquetas Light Condensed"/>
          <w:b w:val="0"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spacing w:val="-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w w:val="95"/>
          <w:sz w:val="22"/>
          <w:szCs w:val="22"/>
        </w:rPr>
        <w:t>2021.</w:t>
      </w:r>
    </w:p>
    <w:p w14:paraId="0854EA50" w14:textId="77777777" w:rsidR="008A55B1" w:rsidRDefault="008A55B1" w:rsidP="008A55B1">
      <w:pPr>
        <w:pStyle w:val="Textoindependiente"/>
        <w:spacing w:before="167" w:line="276" w:lineRule="auto"/>
        <w:ind w:left="101" w:right="115" w:firstLine="707"/>
        <w:rPr>
          <w:rFonts w:ascii="AytoRoquetas Light Condensed" w:hAnsi="AytoRoquetas Light Condensed"/>
          <w:b w:val="0"/>
          <w:bCs/>
          <w:sz w:val="22"/>
          <w:szCs w:val="22"/>
        </w:rPr>
      </w:pPr>
      <w:r>
        <w:rPr>
          <w:rFonts w:ascii="AytoRoquetas Light Condensed" w:hAnsi="AytoRoquetas Light Condensed"/>
          <w:b w:val="0"/>
          <w:bCs/>
          <w:sz w:val="22"/>
          <w:szCs w:val="22"/>
        </w:rPr>
        <w:t>A partir de la base de datos de clientes, se ha realizado una criba por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municipio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por volumen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vertido,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identificándose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42 empresas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gran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envergadura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respecto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bCs/>
          <w:spacing w:val="-1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las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demás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que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requieren</w:t>
      </w:r>
      <w:r>
        <w:rPr>
          <w:rFonts w:ascii="AytoRoquetas Light Condensed" w:hAnsi="AytoRoquetas Light Condensed"/>
          <w:bCs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un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mayor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control,</w:t>
      </w:r>
      <w:r>
        <w:rPr>
          <w:rFonts w:ascii="AytoRoquetas Light Condensed" w:hAnsi="AytoRoquetas Light Condensed"/>
          <w:b w:val="0"/>
          <w:bCs/>
          <w:spacing w:val="-19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debido</w:t>
      </w:r>
      <w:r>
        <w:rPr>
          <w:rFonts w:ascii="AytoRoquetas Light Condensed" w:hAnsi="AytoRoquetas Light Condensed"/>
          <w:b w:val="0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los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problemas</w:t>
      </w:r>
      <w:r>
        <w:rPr>
          <w:rFonts w:ascii="AytoRoquetas Light Condensed" w:hAnsi="AytoRoquetas Light Condensed"/>
          <w:b w:val="0"/>
          <w:bCs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que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un</w:t>
      </w:r>
      <w:r>
        <w:rPr>
          <w:rFonts w:ascii="AytoRoquetas Light Condensed" w:hAnsi="AytoRoquetas Light Condensed"/>
          <w:b w:val="0"/>
          <w:bCs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vertido</w:t>
      </w:r>
      <w:r>
        <w:rPr>
          <w:rFonts w:ascii="AytoRoquetas Light Condensed" w:hAnsi="AytoRoquetas Light Condensed"/>
          <w:b w:val="0"/>
          <w:bCs/>
          <w:spacing w:val="-2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no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urbano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emitido</w:t>
      </w:r>
      <w:r>
        <w:rPr>
          <w:rFonts w:ascii="AytoRoquetas Light Condensed" w:hAnsi="AytoRoquetas Light Condensed"/>
          <w:b w:val="0"/>
          <w:bCs/>
          <w:spacing w:val="-26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por</w:t>
      </w:r>
      <w:r>
        <w:rPr>
          <w:rFonts w:ascii="AytoRoquetas Light Condensed" w:hAnsi="AytoRoquetas Light Condensed"/>
          <w:b w:val="0"/>
          <w:bCs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ellas</w:t>
      </w:r>
      <w:r>
        <w:rPr>
          <w:rFonts w:ascii="AytoRoquetas Light Condensed" w:hAnsi="AytoRoquetas Light Condensed"/>
          <w:b w:val="0"/>
          <w:bCs/>
          <w:spacing w:val="-24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puede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pacing w:val="-1"/>
          <w:sz w:val="22"/>
          <w:szCs w:val="22"/>
        </w:rPr>
        <w:t>ocasionar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bCs/>
          <w:spacing w:val="-2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gestión</w:t>
      </w:r>
      <w:r>
        <w:rPr>
          <w:rFonts w:ascii="AytoRoquetas Light Condensed" w:hAnsi="AytoRoquetas Light Condensed"/>
          <w:b w:val="0"/>
          <w:bCs/>
          <w:spacing w:val="-15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EDAR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proofErr w:type="spellStart"/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Balerma</w:t>
      </w:r>
      <w:proofErr w:type="spellEnd"/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.</w:t>
      </w:r>
    </w:p>
    <w:p w14:paraId="3CADA19B" w14:textId="77777777" w:rsidR="008A55B1" w:rsidRDefault="008A55B1" w:rsidP="008A55B1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sz w:val="22"/>
          <w:szCs w:val="22"/>
        </w:rPr>
      </w:pPr>
    </w:p>
    <w:p w14:paraId="6C1D8708" w14:textId="77777777" w:rsidR="008A55B1" w:rsidRDefault="008A55B1" w:rsidP="008A55B1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sz w:val="22"/>
          <w:szCs w:val="22"/>
        </w:rPr>
      </w:pPr>
      <w:r>
        <w:rPr>
          <w:rFonts w:ascii="AytoRoquetas Light Condensed" w:hAnsi="AytoRoquetas Light Condensed"/>
          <w:bCs/>
          <w:sz w:val="22"/>
          <w:szCs w:val="22"/>
        </w:rPr>
        <w:t>Es por ello que, a lo largo del año 2024, se realizará un seguimiento,</w:t>
      </w:r>
      <w:r>
        <w:rPr>
          <w:rFonts w:ascii="AytoRoquetas Light Condensed" w:hAnsi="AytoRoquetas Light Condensed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inspección y control de estas empresas para la adecuación de su vertido.</w:t>
      </w:r>
      <w:r>
        <w:rPr>
          <w:rFonts w:ascii="AytoRoquetas Light Condensed" w:hAnsi="AytoRoquetas Light Condensed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También</w:t>
      </w:r>
      <w:r>
        <w:rPr>
          <w:rFonts w:ascii="AytoRoquetas Light Condensed" w:hAnsi="AytoRoquetas Light Condensed"/>
          <w:bCs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asesoramiento</w:t>
      </w:r>
      <w:r>
        <w:rPr>
          <w:rFonts w:ascii="AytoRoquetas Light Condensed" w:hAnsi="AytoRoquetas Light Condensed"/>
          <w:bCs/>
          <w:spacing w:val="-6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</w:t>
      </w:r>
      <w:r>
        <w:rPr>
          <w:rFonts w:ascii="AytoRoquetas Light Condensed" w:hAnsi="AytoRoquetas Light Condensed"/>
          <w:bCs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las</w:t>
      </w:r>
      <w:r>
        <w:rPr>
          <w:rFonts w:ascii="AytoRoquetas Light Condensed" w:hAnsi="AytoRoquetas Light Condensed"/>
          <w:bCs/>
          <w:spacing w:val="-6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que</w:t>
      </w:r>
      <w:r>
        <w:rPr>
          <w:rFonts w:ascii="AytoRoquetas Light Condensed" w:hAnsi="AytoRoquetas Light Condensed"/>
          <w:bCs/>
          <w:spacing w:val="-7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lo</w:t>
      </w:r>
      <w:r>
        <w:rPr>
          <w:rFonts w:ascii="AytoRoquetas Light Condensed" w:hAnsi="AytoRoquetas Light Condensed"/>
          <w:bCs/>
          <w:spacing w:val="-7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necesiten</w:t>
      </w:r>
      <w:r>
        <w:rPr>
          <w:rFonts w:ascii="AytoRoquetas Light Condensed" w:hAnsi="AytoRoquetas Light Condensed"/>
          <w:bCs/>
          <w:spacing w:val="-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y</w:t>
      </w:r>
      <w:r>
        <w:rPr>
          <w:rFonts w:ascii="AytoRoquetas Light Condensed" w:hAnsi="AytoRoquetas Light Condensed"/>
          <w:bCs/>
          <w:spacing w:val="-9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revisión</w:t>
      </w:r>
      <w:r>
        <w:rPr>
          <w:rFonts w:ascii="AytoRoquetas Light Condensed" w:hAnsi="AytoRoquetas Light Condensed"/>
          <w:bCs/>
          <w:spacing w:val="-7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de</w:t>
      </w:r>
      <w:r>
        <w:rPr>
          <w:rFonts w:ascii="AytoRoquetas Light Condensed" w:hAnsi="AytoRoquetas Light Condensed"/>
          <w:bCs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altas</w:t>
      </w:r>
      <w:r>
        <w:rPr>
          <w:rFonts w:ascii="AytoRoquetas Light Condensed" w:hAnsi="AytoRoquetas Light Condensed"/>
          <w:bCs/>
          <w:spacing w:val="-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nuevas</w:t>
      </w:r>
      <w:r>
        <w:rPr>
          <w:rFonts w:ascii="AytoRoquetas Light Condensed" w:hAnsi="AytoRoquetas Light Condensed"/>
          <w:bCs/>
          <w:spacing w:val="-8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que</w:t>
      </w:r>
      <w:r>
        <w:rPr>
          <w:rFonts w:ascii="AytoRoquetas Light Condensed" w:hAnsi="AytoRoquetas Light Condensed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comienzan</w:t>
      </w:r>
      <w:r>
        <w:rPr>
          <w:rFonts w:ascii="AytoRoquetas Light Condensed" w:hAnsi="AytoRoquetas Light Condensed"/>
          <w:bCs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verter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la</w:t>
      </w:r>
      <w:r>
        <w:rPr>
          <w:rFonts w:ascii="AytoRoquetas Light Condensed" w:hAnsi="AytoRoquetas Light Condensed"/>
          <w:bCs/>
          <w:spacing w:val="-13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red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de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saneamiento</w:t>
      </w:r>
      <w:r>
        <w:rPr>
          <w:rFonts w:ascii="AytoRoquetas Light Condensed" w:hAnsi="AytoRoquetas Light Condensed"/>
          <w:bCs/>
          <w:spacing w:val="-17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en</w:t>
      </w:r>
      <w:r>
        <w:rPr>
          <w:rFonts w:ascii="AytoRoquetas Light Condensed" w:hAnsi="AytoRoquetas Light Condensed"/>
          <w:bCs/>
          <w:spacing w:val="-15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la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zona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de</w:t>
      </w:r>
      <w:r>
        <w:rPr>
          <w:rFonts w:ascii="AytoRoquetas Light Condensed" w:hAnsi="AytoRoquetas Light Condensed"/>
          <w:bCs/>
          <w:spacing w:val="-14"/>
          <w:sz w:val="22"/>
          <w:szCs w:val="22"/>
        </w:rPr>
        <w:t xml:space="preserve"> </w:t>
      </w:r>
      <w:r>
        <w:rPr>
          <w:rFonts w:ascii="AytoRoquetas Light Condensed" w:hAnsi="AytoRoquetas Light Condensed"/>
          <w:bCs/>
          <w:sz w:val="22"/>
          <w:szCs w:val="22"/>
        </w:rPr>
        <w:t>actuación.</w:t>
      </w:r>
    </w:p>
    <w:p w14:paraId="43D221F0" w14:textId="77777777" w:rsidR="008A55B1" w:rsidRDefault="008A55B1" w:rsidP="008A55B1">
      <w:pPr>
        <w:pStyle w:val="Ttulo1"/>
        <w:spacing w:before="100" w:line="276" w:lineRule="auto"/>
        <w:rPr>
          <w:rFonts w:ascii="AytoRoquetas Light Condensed" w:hAnsi="AytoRoquetas Light Condensed"/>
          <w:b w:val="0"/>
          <w:sz w:val="22"/>
          <w:szCs w:val="22"/>
        </w:rPr>
      </w:pPr>
      <w:r>
        <w:rPr>
          <w:rFonts w:ascii="AytoRoquetas Light Condensed" w:hAnsi="AytoRoquetas Light Condensed"/>
          <w:b w:val="0"/>
          <w:w w:val="95"/>
          <w:sz w:val="22"/>
          <w:szCs w:val="22"/>
        </w:rPr>
        <w:t>Introducción</w:t>
      </w:r>
    </w:p>
    <w:p w14:paraId="70EA4BED" w14:textId="77777777" w:rsidR="008A55B1" w:rsidRDefault="008A55B1">
      <w:pPr>
        <w:spacing w:line="288" w:lineRule="auto"/>
        <w:ind w:firstLine="1134"/>
        <w:jc w:val="both"/>
        <w:rPr>
          <w:rFonts w:ascii="AytoRoquetas Light Condensed" w:hAnsi="AytoRoquetas Light Condensed"/>
          <w:bCs/>
        </w:rPr>
      </w:pPr>
    </w:p>
    <w:p w14:paraId="73EFCF65" w14:textId="4280101E" w:rsidR="008A55B1" w:rsidRDefault="008A55B1" w:rsidP="008A55B1">
      <w:pPr>
        <w:pStyle w:val="Textoindependiente"/>
        <w:spacing w:line="276" w:lineRule="auto"/>
        <w:ind w:left="101" w:right="115" w:firstLine="707"/>
        <w:rPr>
          <w:rFonts w:ascii="AytoRoquetas Light Condensed" w:hAnsi="AytoRoquetas Light Condensed"/>
          <w:b w:val="0"/>
          <w:bCs/>
          <w:sz w:val="22"/>
          <w:szCs w:val="22"/>
        </w:rPr>
      </w:pPr>
      <w:r>
        <w:rPr>
          <w:rFonts w:ascii="AytoRoquetas Light Condensed" w:hAnsi="AytoRoquetas Light Condensed"/>
          <w:b w:val="0"/>
          <w:bCs/>
          <w:sz w:val="22"/>
          <w:szCs w:val="22"/>
        </w:rPr>
        <w:t>La Directiva 91/271/CE, de 21 de mayo, relativa al tratamiento de las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aguas residuales urbanas, señala la necesidad de que los vertidos de aguas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residuales industriales que sean incorporados al sistema de saneamiento y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depuración de aguas residuales urbanas dispongan de un tratamiento en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origen para</w:t>
      </w:r>
      <w:r>
        <w:rPr>
          <w:rFonts w:ascii="AytoRoquetas Light Condensed" w:hAnsi="AytoRoquetas Light Condensed"/>
          <w:bCs/>
          <w:w w:val="95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garantizar, principalmente, que no tengan efectos nocivos sobre las</w:t>
      </w:r>
      <w:r>
        <w:rPr>
          <w:rFonts w:ascii="AytoRoquetas Light Condensed" w:hAnsi="AytoRoquetas Light Condensed"/>
          <w:b w:val="0"/>
          <w:bCs/>
          <w:spacing w:val="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personas y el medio ambiente y que no deterioren la infraestructura de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saneamiento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bCs/>
          <w:spacing w:val="-18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depuración.</w:t>
      </w:r>
    </w:p>
    <w:p w14:paraId="51F450F3" w14:textId="77777777" w:rsidR="008A55B1" w:rsidRDefault="008A55B1" w:rsidP="008A55B1">
      <w:pPr>
        <w:pStyle w:val="Textoindependiente"/>
        <w:spacing w:before="167" w:line="276" w:lineRule="auto"/>
        <w:ind w:left="101" w:right="115" w:firstLine="707"/>
        <w:rPr>
          <w:rFonts w:ascii="AytoRoquetas Light Condensed" w:hAnsi="AytoRoquetas Light Condensed"/>
          <w:b w:val="0"/>
          <w:bCs/>
          <w:sz w:val="22"/>
          <w:szCs w:val="18"/>
        </w:rPr>
      </w:pPr>
      <w:r>
        <w:rPr>
          <w:rFonts w:ascii="AytoRoquetas Light Condensed" w:hAnsi="AytoRoquetas Light Condensed"/>
          <w:b w:val="0"/>
          <w:bCs/>
          <w:sz w:val="22"/>
          <w:szCs w:val="22"/>
        </w:rPr>
        <w:t>En</w:t>
      </w:r>
      <w:r>
        <w:rPr>
          <w:rFonts w:ascii="AytoRoquetas Light Condensed" w:hAnsi="AytoRoquetas Light Condensed"/>
          <w:b w:val="0"/>
          <w:bCs/>
          <w:spacing w:val="-2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este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contexto,</w:t>
      </w:r>
      <w:r>
        <w:rPr>
          <w:rFonts w:ascii="AytoRoquetas Light Condensed" w:hAnsi="AytoRoquetas Light Condensed"/>
          <w:b w:val="0"/>
          <w:bCs/>
          <w:spacing w:val="-23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nivel</w:t>
      </w:r>
      <w:r>
        <w:rPr>
          <w:rFonts w:ascii="AytoRoquetas Light Condensed" w:hAnsi="AytoRoquetas Light Condensed"/>
          <w:b w:val="0"/>
          <w:bCs/>
          <w:spacing w:val="-2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local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es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aplicación</w:t>
      </w:r>
      <w:r>
        <w:rPr>
          <w:rFonts w:ascii="AytoRoquetas Light Condensed" w:hAnsi="AytoRoquetas Light Condensed"/>
          <w:b w:val="0"/>
          <w:bCs/>
          <w:spacing w:val="-22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Ordenanza</w:t>
      </w:r>
      <w:r>
        <w:rPr>
          <w:rFonts w:ascii="AytoRoquetas Light Condensed" w:hAnsi="AytoRoquetas Light Condensed"/>
          <w:b w:val="0"/>
          <w:bCs/>
          <w:spacing w:val="-20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2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Vertidos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 la Red de Alcantarillado del Consorcio para la Gestión de los Servicios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Integrados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Abastecimiento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Agua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y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Saneamiento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del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Poniente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Almeriense.</w:t>
      </w:r>
      <w:r>
        <w:rPr>
          <w:rFonts w:ascii="AytoRoquetas Light Condensed" w:hAnsi="AytoRoquetas Light Condensed"/>
          <w:b w:val="0"/>
          <w:bCs/>
          <w:spacing w:val="-8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Esta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Ordenanza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trata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8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conseguir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que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los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vertidos</w:t>
      </w:r>
      <w:r>
        <w:rPr>
          <w:rFonts w:ascii="AytoRoquetas Light Condensed" w:hAnsi="AytoRoquetas Light Condensed"/>
          <w:b w:val="0"/>
          <w:bCs/>
          <w:spacing w:val="-7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de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los</w:t>
      </w:r>
      <w:r>
        <w:rPr>
          <w:rFonts w:ascii="AytoRoquetas Light Condensed" w:hAnsi="AytoRoquetas Light Condensed"/>
          <w:b w:val="0"/>
          <w:bCs/>
          <w:spacing w:val="-6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usuarios</w:t>
      </w:r>
      <w:r>
        <w:rPr>
          <w:rFonts w:ascii="AytoRoquetas Light Condensed" w:hAnsi="AytoRoquetas Light Condensed"/>
          <w:b w:val="0"/>
          <w:bCs/>
          <w:spacing w:val="-12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w w:val="95"/>
          <w:sz w:val="22"/>
          <w:szCs w:val="22"/>
        </w:rPr>
        <w:t>a</w:t>
      </w:r>
      <w:r>
        <w:rPr>
          <w:rFonts w:ascii="AytoRoquetas Light Condensed" w:hAnsi="AytoRoquetas Light Condensed"/>
          <w:b w:val="0"/>
          <w:bCs/>
          <w:spacing w:val="-71"/>
          <w:w w:val="9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 red de saneamiento no impidan o entorpezcan el correcto funcionamiento</w:t>
      </w:r>
      <w:r>
        <w:rPr>
          <w:rFonts w:ascii="AytoRoquetas Light Condensed" w:hAnsi="AytoRoquetas Light Condensed"/>
          <w:b w:val="0"/>
          <w:bCs/>
          <w:spacing w:val="-75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de ésta y de las instalaciones de depuración, considerando, eso sí, que las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cargas económicas derivadas de la explotación del sistema sean soportadas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en razón directa a los caudales vertidos y a la toxicidad, agresividad y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concentración de sus contaminantes, atendiendo así al principio de &lt;</w:t>
      </w:r>
      <w:r>
        <w:rPr>
          <w:rFonts w:ascii="AytoRoquetas Light Condensed" w:hAnsi="AytoRoquetas Light Condensed"/>
          <w:b w:val="0"/>
          <w:bCs/>
          <w:i/>
          <w:sz w:val="22"/>
          <w:szCs w:val="22"/>
        </w:rPr>
        <w:t>quién</w:t>
      </w:r>
      <w:r>
        <w:rPr>
          <w:rFonts w:ascii="AytoRoquetas Light Condensed" w:hAnsi="AytoRoquetas Light Condensed"/>
          <w:b w:val="0"/>
          <w:bCs/>
          <w:i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i/>
          <w:sz w:val="22"/>
          <w:szCs w:val="22"/>
        </w:rPr>
        <w:t>contamina</w:t>
      </w:r>
      <w:r>
        <w:rPr>
          <w:rFonts w:ascii="AytoRoquetas Light Condensed" w:hAnsi="AytoRoquetas Light Condensed"/>
          <w:b w:val="0"/>
          <w:bCs/>
          <w:i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i/>
          <w:sz w:val="22"/>
          <w:szCs w:val="22"/>
        </w:rPr>
        <w:t>paga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&gt;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según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la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directiva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2004/35/CE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22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22"/>
        </w:rPr>
        <w:t>sobre</w:t>
      </w:r>
      <w:r>
        <w:rPr>
          <w:rFonts w:ascii="AytoRoquetas Light Condensed" w:hAnsi="AytoRoquetas Light Condensed"/>
          <w:spacing w:val="1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responsabilidad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medioambiental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en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relación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con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la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prevención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y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reparación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de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daños</w:t>
      </w:r>
      <w:r>
        <w:rPr>
          <w:rFonts w:ascii="AytoRoquetas Light Condensed" w:hAnsi="AytoRoquetas Light Condensed"/>
          <w:b w:val="0"/>
          <w:bCs/>
          <w:spacing w:val="1"/>
          <w:sz w:val="22"/>
          <w:szCs w:val="18"/>
        </w:rPr>
        <w:t xml:space="preserve"> </w:t>
      </w:r>
      <w:r>
        <w:rPr>
          <w:rFonts w:ascii="AytoRoquetas Light Condensed" w:hAnsi="AytoRoquetas Light Condensed"/>
          <w:b w:val="0"/>
          <w:bCs/>
          <w:sz w:val="22"/>
          <w:szCs w:val="18"/>
        </w:rPr>
        <w:t>medioambientales.</w:t>
      </w:r>
    </w:p>
    <w:p w14:paraId="24D24C7A" w14:textId="77777777" w:rsidR="008A55B1" w:rsidRDefault="008A55B1" w:rsidP="008A55B1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w w:val="95"/>
          <w:sz w:val="22"/>
          <w:szCs w:val="18"/>
        </w:rPr>
      </w:pPr>
    </w:p>
    <w:p w14:paraId="6969FD48" w14:textId="35B32BF3" w:rsidR="008A55B1" w:rsidRDefault="008A55B1" w:rsidP="008A55B1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w w:val="95"/>
          <w:sz w:val="22"/>
          <w:szCs w:val="18"/>
        </w:rPr>
      </w:pPr>
      <w:r>
        <w:rPr>
          <w:noProof/>
        </w:rPr>
        <w:pict w14:anchorId="72EB32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9.jpeg" o:spid="_x0000_s3075" type="#_x0000_t75" style="position:absolute;left:0;text-align:left;margin-left:17.95pt;margin-top:14.2pt;width:377.35pt;height:177pt;z-index:251659264;visibility:visible;mso-wrap-style:square;mso-height-percent:0;mso-wrap-distance-left:0;mso-wrap-distance-top:0;mso-wrap-distance-right:0;mso-wrap-distance-bottom:0;mso-position-horizontal-relative:margin;mso-position-vertical-relative:text;mso-height-percent:0;mso-height-relative:margin" o:allowincell="f">
            <v:imagedata r:id="rId7" o:title=""/>
            <w10:wrap type="topAndBottom" anchorx="margin"/>
          </v:shape>
        </w:pict>
      </w:r>
    </w:p>
    <w:p w14:paraId="3F5FFD41" w14:textId="77777777" w:rsidR="008A55B1" w:rsidRDefault="008A55B1" w:rsidP="008A55B1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w w:val="95"/>
          <w:sz w:val="22"/>
          <w:szCs w:val="18"/>
        </w:rPr>
      </w:pPr>
    </w:p>
    <w:p w14:paraId="2D48D1D1" w14:textId="77777777" w:rsidR="008A55B1" w:rsidRDefault="008A55B1" w:rsidP="008A55B1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w w:val="95"/>
          <w:sz w:val="22"/>
          <w:szCs w:val="18"/>
        </w:rPr>
      </w:pPr>
    </w:p>
    <w:p w14:paraId="4D7895BD" w14:textId="77777777" w:rsidR="008A55B1" w:rsidRDefault="008A55B1" w:rsidP="008A55B1">
      <w:pPr>
        <w:pStyle w:val="Formatolibre"/>
        <w:spacing w:line="276" w:lineRule="auto"/>
        <w:jc w:val="both"/>
        <w:rPr>
          <w:rFonts w:ascii="AytoRoquetas Light Condensed" w:hAnsi="AytoRoquetas Light Condensed"/>
          <w:bCs/>
          <w:w w:val="95"/>
          <w:sz w:val="22"/>
          <w:szCs w:val="18"/>
        </w:rPr>
      </w:pPr>
    </w:p>
    <w:p w14:paraId="14477B4D" w14:textId="48D2E25B" w:rsidR="004F32B9" w:rsidRDefault="004F32B9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sectPr w:rsidR="004F32B9">
      <w:headerReference w:type="default" r:id="rId8"/>
      <w:footerReference w:type="default" r:id="rId9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77B57" w14:textId="77777777" w:rsidR="008A55B1" w:rsidRDefault="008A55B1">
      <w:pPr>
        <w:spacing w:after="0" w:line="240" w:lineRule="auto"/>
      </w:pPr>
      <w:r>
        <w:separator/>
      </w:r>
    </w:p>
  </w:endnote>
  <w:endnote w:type="continuationSeparator" w:id="0">
    <w:p w14:paraId="14477B59" w14:textId="77777777" w:rsidR="008A55B1" w:rsidRDefault="008A5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77B52" w14:textId="77777777" w:rsidR="004F32B9" w:rsidRDefault="008A55B1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77B53" w14:textId="77777777" w:rsidR="008A55B1" w:rsidRDefault="008A55B1">
      <w:pPr>
        <w:spacing w:after="0" w:line="240" w:lineRule="auto"/>
      </w:pPr>
      <w:r>
        <w:separator/>
      </w:r>
    </w:p>
  </w:footnote>
  <w:footnote w:type="continuationSeparator" w:id="0">
    <w:p w14:paraId="14477B55" w14:textId="77777777" w:rsidR="008A55B1" w:rsidRDefault="008A5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77B4E" w14:textId="77777777" w:rsidR="004F32B9" w:rsidRDefault="008A55B1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4477B53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14477B55" w14:textId="77777777" w:rsidR="004F32B9" w:rsidRDefault="008A55B1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14477B56" w14:textId="77777777" w:rsidR="004F32B9" w:rsidRDefault="008A55B1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14477B57" w14:textId="77777777" w:rsidR="004F32B9" w:rsidRDefault="008A55B1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14477B58" w14:textId="77777777" w:rsidR="004F32B9" w:rsidRDefault="008A55B1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14477B4F" w14:textId="77777777" w:rsidR="004F32B9" w:rsidRDefault="008A55B1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4477B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14477B50" w14:textId="77777777" w:rsidR="004F32B9" w:rsidRDefault="004F32B9">
    <w:pPr>
      <w:pStyle w:val="Encabezado28"/>
      <w:rPr>
        <w:rFonts w:ascii="AytoRoquetas Light Condensed" w:hAnsi="AytoRoquetas Light Condensed" w:cs="AytoRoquetas Light Condensed"/>
      </w:rPr>
    </w:pPr>
  </w:p>
  <w:p w14:paraId="14477B51" w14:textId="77777777" w:rsidR="004F32B9" w:rsidRDefault="004F32B9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0F1EF5"/>
    <w:multiLevelType w:val="multilevel"/>
    <w:tmpl w:val="C92C104A"/>
    <w:lvl w:ilvl="0">
      <w:numFmt w:val="bullet"/>
      <w:lvlText w:val="-"/>
      <w:lvlJc w:val="left"/>
      <w:pPr>
        <w:tabs>
          <w:tab w:val="num" w:pos="0"/>
        </w:tabs>
        <w:ind w:left="881" w:hanging="360"/>
      </w:pPr>
      <w:rPr>
        <w:rFonts w:ascii="Arial MT" w:hAnsi="Arial MT" w:cs="Arial MT" w:hint="default"/>
        <w:w w:val="100"/>
        <w:sz w:val="22"/>
        <w:szCs w:val="22"/>
        <w:lang w:val="es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80" w:hanging="360"/>
      </w:pPr>
      <w:rPr>
        <w:rFonts w:ascii="Symbol" w:hAnsi="Symbol" w:cs="Symbol" w:hint="default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51" w:hanging="360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23" w:hanging="360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495" w:hanging="360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366" w:hanging="360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38" w:hanging="360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110" w:hanging="360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982" w:hanging="360"/>
      </w:pPr>
      <w:rPr>
        <w:rFonts w:ascii="Symbol" w:hAnsi="Symbol" w:cs="Symbol" w:hint="default"/>
        <w:lang w:val="es-ES" w:eastAsia="en-US" w:bidi="ar-SA"/>
      </w:rPr>
    </w:lvl>
  </w:abstractNum>
  <w:num w:numId="1" w16cid:durableId="543374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F32B9"/>
    <w:rsid w:val="004F32B9"/>
    <w:rsid w:val="00850E0C"/>
    <w:rsid w:val="008A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3"/>
    </o:shapelayout>
  </w:shapeDefaults>
  <w:decimalSymbol w:val=","/>
  <w:listSeparator w:val=";"/>
  <w14:docId w14:val="14477B3F"/>
  <w15:docId w15:val="{CEACFA19-ED32-4EB1-92E2-88D60BF9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8A55B1"/>
    <w:pPr>
      <w:keepNext/>
      <w:suppressAutoHyphens/>
      <w:autoSpaceDE/>
      <w:autoSpaceDN/>
      <w:adjustRightInd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color w:val="000000"/>
      <w:kern w:val="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8A55B1"/>
    <w:rPr>
      <w:rFonts w:ascii="Calibri Light" w:eastAsia="Times New Roman" w:hAnsi="Calibri Light" w:cs="Times New Roman"/>
      <w:b/>
      <w:bCs/>
      <w:color w:val="000000"/>
      <w:kern w:val="2"/>
      <w:sz w:val="32"/>
      <w:szCs w:val="32"/>
    </w:rPr>
  </w:style>
  <w:style w:type="paragraph" w:customStyle="1" w:styleId="Default">
    <w:name w:val="Default"/>
    <w:rsid w:val="008A55B1"/>
    <w:pPr>
      <w:autoSpaceDE w:val="0"/>
      <w:autoSpaceDN w:val="0"/>
      <w:adjustRightInd w:val="0"/>
    </w:pPr>
    <w:rPr>
      <w:rFonts w:ascii="AytoRoquetas Light Condensed" w:hAnsi="AytoRoquetas Light Condensed" w:cs="AytoRoquetas Light Condensed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A55B1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8A55B1"/>
    <w:rPr>
      <w:rFonts w:ascii="Times New Roman" w:eastAsia="Times New Roman" w:hAnsi="Times New Roman" w:cs="Times New Roman"/>
      <w:b/>
      <w:sz w:val="24"/>
      <w:lang w:eastAsia="es-ES"/>
    </w:rPr>
  </w:style>
  <w:style w:type="paragraph" w:customStyle="1" w:styleId="Formatolibre">
    <w:name w:val="Formato libre"/>
    <w:qFormat/>
    <w:rsid w:val="008A55B1"/>
    <w:pPr>
      <w:suppressAutoHyphens/>
    </w:pPr>
    <w:rPr>
      <w:rFonts w:ascii="Helvetica" w:eastAsia="ヒラギノ角ゴ Pro W3" w:hAnsi="Helvetica" w:cs="Times New Roman"/>
      <w:color w:val="000000"/>
      <w:sz w:val="24"/>
      <w:lang w:eastAsia="es-ES"/>
    </w:rPr>
  </w:style>
  <w:style w:type="paragraph" w:styleId="Encabezado">
    <w:name w:val="header"/>
    <w:basedOn w:val="Normal"/>
    <w:link w:val="EncabezadoCar28"/>
    <w:uiPriority w:val="99"/>
    <w:unhideWhenUsed/>
    <w:rsid w:val="008A55B1"/>
    <w:pPr>
      <w:tabs>
        <w:tab w:val="center" w:pos="4252"/>
        <w:tab w:val="right" w:pos="8504"/>
      </w:tabs>
    </w:pPr>
  </w:style>
  <w:style w:type="character" w:customStyle="1" w:styleId="EncabezadoCar28">
    <w:name w:val="Encabezado Car28"/>
    <w:basedOn w:val="Fuentedeprrafopredeter"/>
    <w:link w:val="Encabezado"/>
    <w:uiPriority w:val="99"/>
    <w:rsid w:val="008A55B1"/>
    <w:rPr>
      <w:rFonts w:ascii="Calibri" w:hAnsi="Calibri" w:cs="Calibri"/>
      <w:sz w:val="22"/>
      <w:szCs w:val="22"/>
    </w:rPr>
  </w:style>
  <w:style w:type="paragraph" w:styleId="Piedepgina">
    <w:name w:val="footer"/>
    <w:basedOn w:val="Normal"/>
    <w:link w:val="PiedepginaCar28"/>
    <w:uiPriority w:val="99"/>
    <w:unhideWhenUsed/>
    <w:rsid w:val="008A55B1"/>
    <w:pPr>
      <w:tabs>
        <w:tab w:val="center" w:pos="4252"/>
        <w:tab w:val="right" w:pos="8504"/>
      </w:tabs>
    </w:pPr>
  </w:style>
  <w:style w:type="character" w:customStyle="1" w:styleId="PiedepginaCar28">
    <w:name w:val="Pie de página Car28"/>
    <w:basedOn w:val="Fuentedeprrafopredeter"/>
    <w:link w:val="Piedepgina"/>
    <w:uiPriority w:val="99"/>
    <w:rsid w:val="008A55B1"/>
    <w:rPr>
      <w:rFonts w:ascii="Calibri" w:hAnsi="Calibri" w:cs="Calibri"/>
      <w:sz w:val="22"/>
      <w:szCs w:val="22"/>
    </w:rPr>
  </w:style>
  <w:style w:type="paragraph" w:styleId="Prrafodelista">
    <w:name w:val="List Paragraph"/>
    <w:basedOn w:val="Normal"/>
    <w:uiPriority w:val="1"/>
    <w:qFormat/>
    <w:rsid w:val="008A55B1"/>
    <w:pPr>
      <w:autoSpaceDE/>
      <w:autoSpaceDN/>
      <w:adjustRightInd/>
      <w:spacing w:before="120" w:after="120" w:line="240" w:lineRule="auto"/>
      <w:ind w:left="720"/>
      <w:contextualSpacing/>
      <w:jc w:val="both"/>
    </w:pPr>
    <w:rPr>
      <w:rFonts w:eastAsia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2024-09-17T11:26:00Z</dcterms:created>
  <dcterms:modified xsi:type="dcterms:W3CDTF">2024-09-17T11:33:00Z</dcterms:modified>
</cp:coreProperties>
</file>