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533C2A" w14:textId="77777777" w:rsidR="00DF1C88" w:rsidRDefault="00716834">
      <w:pPr>
        <w:spacing w:after="0" w:line="288" w:lineRule="auto"/>
        <w:jc w:val="both"/>
        <w:rPr>
          <w:rFonts w:ascii="AytoRoquetas Light Condensed" w:hAnsi="AytoRoquetas Light Condensed" w:cs="AytoRoquetas Light Condensed"/>
          <w:color w:val="000000"/>
        </w:rPr>
      </w:pPr>
      <w:r>
        <w:rPr>
          <w:rFonts w:ascii="AytoRoquetas Light Condensed" w:hAnsi="AytoRoquetas Light Condensed" w:cs="AytoRoquetas Light Condensed"/>
          <w:color w:val="000000"/>
        </w:rPr>
        <w:t>CONSORCIO DEL CICLO INTEGRAL DEL AGUA DEL PONIENTE ALMERIENSE</w:t>
      </w:r>
    </w:p>
    <w:p w14:paraId="67533C2B" w14:textId="309D9001" w:rsidR="00DF1C88" w:rsidRDefault="00716834">
      <w:pPr>
        <w:spacing w:after="0" w:line="288" w:lineRule="auto"/>
        <w:jc w:val="both"/>
        <w:rPr>
          <w:rFonts w:ascii="AytoRoquetas Light Condensed" w:hAnsi="AytoRoquetas Light Condensed" w:cs="AytoRoquetas Light Condensed"/>
          <w:color w:val="000000"/>
        </w:rPr>
      </w:pPr>
      <w:r>
        <w:rPr>
          <w:rFonts w:ascii="AytoRoquetas Light Condensed" w:hAnsi="AytoRoquetas Light Condensed" w:cs="AytoRoquetas Light Condensed"/>
          <w:b/>
          <w:bCs/>
          <w:color w:val="000000"/>
        </w:rPr>
        <w:t>Expediente:</w:t>
      </w:r>
      <w:r>
        <w:rPr>
          <w:rFonts w:ascii="AytoRoquetas Light Condensed" w:hAnsi="AytoRoquetas Light Condensed" w:cs="AytoRoquetas Light Condensed"/>
          <w:color w:val="000000"/>
        </w:rPr>
        <w:t xml:space="preserve"> 2024/</w:t>
      </w:r>
      <w:r w:rsidR="0081016D">
        <w:rPr>
          <w:rFonts w:ascii="AytoRoquetas Light Condensed" w:hAnsi="AytoRoquetas Light Condensed" w:cs="AytoRoquetas Light Condensed"/>
          <w:color w:val="000000"/>
        </w:rPr>
        <w:t>87</w:t>
      </w:r>
    </w:p>
    <w:p w14:paraId="67533C2C" w14:textId="77777777" w:rsidR="00DF1C88" w:rsidRDefault="00DF1C88">
      <w:pPr>
        <w:spacing w:after="0" w:line="288" w:lineRule="auto"/>
        <w:jc w:val="both"/>
        <w:rPr>
          <w:rFonts w:ascii="AytoRoquetas Light Condensed" w:hAnsi="AytoRoquetas Light Condensed" w:cs="AytoRoquetas Light Condensed"/>
          <w:color w:val="000000"/>
        </w:rPr>
      </w:pPr>
    </w:p>
    <w:p w14:paraId="67533C2D" w14:textId="77777777" w:rsidR="00DF1C88" w:rsidRDefault="00716834">
      <w:pPr>
        <w:spacing w:after="0" w:line="288" w:lineRule="auto"/>
        <w:jc w:val="both"/>
        <w:rPr>
          <w:rFonts w:ascii="AytoRoquetas Light Condensed" w:hAnsi="AytoRoquetas Light Condensed" w:cs="AytoRoquetas Light Condensed"/>
          <w:b/>
          <w:bCs/>
          <w:color w:val="000000"/>
        </w:rPr>
      </w:pPr>
      <w:r>
        <w:rPr>
          <w:rFonts w:ascii="AytoRoquetas Light Condensed" w:hAnsi="AytoRoquetas Light Condensed" w:cs="AytoRoquetas Light Condensed"/>
          <w:b/>
          <w:bCs/>
          <w:color w:val="000000"/>
        </w:rPr>
        <w:t>DON GABRIEL AMAT AYLLÓN, PRESIDENTE DEL CONSORCIO DEL CICLO INTEGRAL DEL AGUA DEL PONIENTE ALMERIENSE, HA DICTADO LA SIGUIENTE RESOLUCIÓN:</w:t>
      </w:r>
    </w:p>
    <w:p w14:paraId="67533C2E" w14:textId="77777777" w:rsidR="00DF1C88" w:rsidRDefault="007168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AytoRoquetas Light Condensed" w:hAnsi="AytoRoquetas Light Condensed" w:cs="AytoRoquetas Light Condensed"/>
          <w:color w:val="FF0000"/>
        </w:rPr>
      </w:pPr>
      <w:r>
        <w:rPr>
          <w:rFonts w:ascii="AytoRoquetas Light Condensed" w:hAnsi="AytoRoquetas Light Condensed" w:cs="AytoRoquetas Light Condensed"/>
          <w:color w:val="FF0000"/>
        </w:rPr>
        <w:t>&lt;DEC_GEN&gt;</w:t>
      </w:r>
    </w:p>
    <w:p w14:paraId="67533C2F" w14:textId="77777777" w:rsidR="00DF1C88" w:rsidRDefault="00DF1C88">
      <w:pPr>
        <w:spacing w:after="0" w:line="288" w:lineRule="auto"/>
        <w:jc w:val="both"/>
        <w:rPr>
          <w:rFonts w:ascii="AytoRoquetas Light Condensed" w:hAnsi="AytoRoquetas Light Condensed" w:cs="AytoRoquetas Light Condensed"/>
          <w:color w:val="000000"/>
        </w:rPr>
      </w:pPr>
    </w:p>
    <w:p w14:paraId="67533C30" w14:textId="34EED9B9" w:rsidR="00DF1C88" w:rsidRDefault="00716834">
      <w:pPr>
        <w:spacing w:after="0" w:line="288" w:lineRule="auto"/>
        <w:ind w:firstLine="709"/>
        <w:jc w:val="both"/>
        <w:rPr>
          <w:rFonts w:ascii="AytoRoquetas Light Condensed" w:hAnsi="AytoRoquetas Light Condensed" w:cs="AytoRoquetas Light Condensed"/>
          <w:b/>
          <w:bCs/>
          <w:color w:val="000000"/>
        </w:rPr>
      </w:pPr>
      <w:r>
        <w:rPr>
          <w:rFonts w:ascii="AytoRoquetas Light Condensed" w:hAnsi="AytoRoquetas Light Condensed" w:cs="AytoRoquetas Light Condensed"/>
          <w:color w:val="000000"/>
        </w:rPr>
        <w:t xml:space="preserve">Vistos los expedientes de solicitud de autorización de vertidos y una vez realizada la visita a sus instalaciones y emitidos informes favorables por la Sra. Técnico de Control de Vertidos de Hidralia, Gestión Integral de Aguas de Andalucía SA de </w:t>
      </w:r>
      <w:r w:rsidRPr="00716834">
        <w:rPr>
          <w:rFonts w:ascii="AytoRoquetas Light Condensed" w:hAnsi="AytoRoquetas Light Condensed" w:cs="AytoRoquetas Light Condensed"/>
        </w:rPr>
        <w:t>12 de junio de 2024</w:t>
      </w:r>
      <w:r>
        <w:rPr>
          <w:rFonts w:ascii="AytoRoquetas Light Condensed" w:hAnsi="AytoRoquetas Light Condensed" w:cs="AytoRoquetas Light Condensed"/>
        </w:rPr>
        <w:t xml:space="preserve"> y de acuerdo con la Ordenanza de vertidos a la red de alcantarillado del Consorcio (B.O.P de Almería número 149 de 5 de agosto de 2021) y con el acuerdo de la Junta General del Consorcio de 21 de abril de 2021, de nombramiento de Presidente y la Ordenanza de vertidos a la red de alcantarillado del Consocio (B.O.P de Almería Número 149 de 5 de agosto de 2021), es por lo que </w:t>
      </w:r>
      <w:r>
        <w:rPr>
          <w:rFonts w:ascii="AytoRoquetas Light Condensed" w:hAnsi="AytoRoquetas Light Condensed" w:cs="AytoRoquetas Light Condensed"/>
          <w:b/>
          <w:bCs/>
        </w:rPr>
        <w:t>VENGO A RESOLVER</w:t>
      </w:r>
      <w:r>
        <w:rPr>
          <w:rFonts w:ascii="AytoRoquetas Light Condensed" w:hAnsi="AytoRoquetas Light Condensed" w:cs="AytoRoquetas Light Condensed"/>
          <w:b/>
          <w:bCs/>
          <w:color w:val="000000"/>
        </w:rPr>
        <w:t>:</w:t>
      </w:r>
    </w:p>
    <w:p w14:paraId="67533C31" w14:textId="77777777" w:rsidR="00DF1C88" w:rsidRDefault="00DF1C88">
      <w:pPr>
        <w:spacing w:after="0" w:line="288" w:lineRule="auto"/>
        <w:jc w:val="both"/>
        <w:rPr>
          <w:rFonts w:ascii="AytoRoquetas Light Condensed" w:hAnsi="AytoRoquetas Light Condensed" w:cs="AytoRoquetas Light Condensed"/>
          <w:b/>
          <w:bCs/>
          <w:color w:val="000000"/>
        </w:rPr>
      </w:pPr>
    </w:p>
    <w:p w14:paraId="67533C32" w14:textId="77777777" w:rsidR="00DF1C88" w:rsidRDefault="00716834">
      <w:pPr>
        <w:spacing w:after="0" w:line="288" w:lineRule="auto"/>
        <w:ind w:firstLine="709"/>
        <w:jc w:val="both"/>
        <w:rPr>
          <w:rFonts w:ascii="AytoRoquetas Light Condensed" w:hAnsi="AytoRoquetas Light Condensed" w:cs="AytoRoquetas Light Condensed"/>
        </w:rPr>
      </w:pPr>
      <w:r>
        <w:rPr>
          <w:rFonts w:ascii="AytoRoquetas Light Condensed" w:hAnsi="AytoRoquetas Light Condensed" w:cs="AytoRoquetas Light Condensed"/>
          <w:b/>
          <w:bCs/>
          <w:color w:val="000000"/>
        </w:rPr>
        <w:t>1º</w:t>
      </w:r>
      <w:r>
        <w:rPr>
          <w:rFonts w:ascii="AytoRoquetas Light Condensed" w:hAnsi="AytoRoquetas Light Condensed" w:cs="AytoRoquetas Light Condensed"/>
          <w:color w:val="000000"/>
        </w:rPr>
        <w:t xml:space="preserve">. Conceder la “Autorización de Vertido” en la red de </w:t>
      </w:r>
      <w:r>
        <w:rPr>
          <w:rFonts w:ascii="AytoRoquetas Light Condensed" w:hAnsi="AytoRoquetas Light Condensed" w:cs="AytoRoquetas Light Condensed"/>
        </w:rPr>
        <w:t>saneamiento de Roquetas de Mar a:</w:t>
      </w:r>
    </w:p>
    <w:p w14:paraId="67533C33" w14:textId="58797FDD" w:rsidR="00DF1C88" w:rsidRDefault="00716834">
      <w:pPr>
        <w:numPr>
          <w:ilvl w:val="0"/>
          <w:numId w:val="1"/>
        </w:numPr>
        <w:tabs>
          <w:tab w:val="left" w:pos="1429"/>
        </w:tabs>
        <w:spacing w:after="0" w:line="288" w:lineRule="auto"/>
        <w:ind w:left="1429"/>
        <w:jc w:val="both"/>
        <w:rPr>
          <w:rFonts w:ascii="AytoRoquetas Light Condensed" w:hAnsi="AytoRoquetas Light Condensed" w:cs="AytoRoquetas Light Condensed"/>
        </w:rPr>
      </w:pPr>
      <w:r>
        <w:rPr>
          <w:rFonts w:ascii="AytoRoquetas Light Condensed" w:hAnsi="AytoRoquetas Light Condensed" w:cs="AytoRoquetas Light Condensed"/>
        </w:rPr>
        <w:t>LAVADERO DE COCHES ACM LUXURY</w:t>
      </w:r>
    </w:p>
    <w:p w14:paraId="3CCCFD7B" w14:textId="3D4A141B" w:rsidR="00716834" w:rsidRDefault="00716834">
      <w:pPr>
        <w:numPr>
          <w:ilvl w:val="0"/>
          <w:numId w:val="1"/>
        </w:numPr>
        <w:tabs>
          <w:tab w:val="left" w:pos="1429"/>
        </w:tabs>
        <w:spacing w:after="0" w:line="288" w:lineRule="auto"/>
        <w:ind w:left="1429"/>
        <w:jc w:val="both"/>
        <w:rPr>
          <w:rFonts w:ascii="AytoRoquetas Light Condensed" w:hAnsi="AytoRoquetas Light Condensed" w:cs="AytoRoquetas Light Condensed"/>
        </w:rPr>
      </w:pPr>
      <w:r>
        <w:rPr>
          <w:rFonts w:ascii="AytoRoquetas Light Condensed" w:hAnsi="AytoRoquetas Light Condensed" w:cs="AytoRoquetas Light Condensed"/>
        </w:rPr>
        <w:t>AVENIDA VILLA DE VÍCAR Nº 10</w:t>
      </w:r>
    </w:p>
    <w:p w14:paraId="2C8E09FD" w14:textId="0D4CD263" w:rsidR="00716834" w:rsidRDefault="00716834">
      <w:pPr>
        <w:numPr>
          <w:ilvl w:val="0"/>
          <w:numId w:val="1"/>
        </w:numPr>
        <w:tabs>
          <w:tab w:val="left" w:pos="1429"/>
        </w:tabs>
        <w:spacing w:after="0" w:line="288" w:lineRule="auto"/>
        <w:ind w:left="1429"/>
        <w:jc w:val="both"/>
        <w:rPr>
          <w:rFonts w:ascii="AytoRoquetas Light Condensed" w:hAnsi="AytoRoquetas Light Condensed" w:cs="AytoRoquetas Light Condensed"/>
        </w:rPr>
      </w:pPr>
      <w:r>
        <w:rPr>
          <w:rFonts w:ascii="AytoRoquetas Light Condensed" w:hAnsi="AytoRoquetas Light Condensed" w:cs="AytoRoquetas Light Condensed"/>
        </w:rPr>
        <w:t>04738 VÍCAR – ALMERÍA</w:t>
      </w:r>
    </w:p>
    <w:p w14:paraId="1DBCC52E" w14:textId="52BAC90E" w:rsidR="00716834" w:rsidRDefault="00716834">
      <w:pPr>
        <w:numPr>
          <w:ilvl w:val="0"/>
          <w:numId w:val="1"/>
        </w:numPr>
        <w:tabs>
          <w:tab w:val="left" w:pos="1429"/>
        </w:tabs>
        <w:spacing w:after="0" w:line="288" w:lineRule="auto"/>
        <w:ind w:left="1429"/>
        <w:jc w:val="both"/>
        <w:rPr>
          <w:rFonts w:ascii="AytoRoquetas Light Condensed" w:hAnsi="AytoRoquetas Light Condensed" w:cs="AytoRoquetas Light Condensed"/>
        </w:rPr>
      </w:pPr>
      <w:r>
        <w:rPr>
          <w:rFonts w:ascii="AytoRoquetas Light Condensed" w:hAnsi="AytoRoquetas Light Condensed" w:cs="AytoRoquetas Light Condensed"/>
        </w:rPr>
        <w:t>X5087886X</w:t>
      </w:r>
    </w:p>
    <w:p w14:paraId="67533C34" w14:textId="117AD6A0" w:rsidR="00DF1C88" w:rsidRDefault="00DF1C88" w:rsidP="00716834">
      <w:pPr>
        <w:tabs>
          <w:tab w:val="left" w:pos="1429"/>
        </w:tabs>
        <w:spacing w:after="0" w:line="288" w:lineRule="auto"/>
        <w:ind w:left="1069"/>
        <w:jc w:val="both"/>
        <w:rPr>
          <w:rFonts w:ascii="AytoRoquetas Light Condensed" w:hAnsi="AytoRoquetas Light Condensed" w:cs="AytoRoquetas Light Condensed"/>
        </w:rPr>
      </w:pPr>
    </w:p>
    <w:p w14:paraId="67533C35" w14:textId="77777777" w:rsidR="00DF1C88" w:rsidRDefault="00DF1C88">
      <w:pPr>
        <w:spacing w:after="0" w:line="288" w:lineRule="auto"/>
        <w:jc w:val="both"/>
        <w:rPr>
          <w:rFonts w:ascii="AytoRoquetas Light Condensed" w:hAnsi="AytoRoquetas Light Condensed" w:cs="AytoRoquetas Light Condensed"/>
        </w:rPr>
      </w:pPr>
    </w:p>
    <w:p w14:paraId="67533C36" w14:textId="77777777" w:rsidR="00DF1C88" w:rsidRPr="00716834" w:rsidRDefault="00716834">
      <w:pPr>
        <w:spacing w:after="0" w:line="288" w:lineRule="auto"/>
        <w:jc w:val="both"/>
        <w:rPr>
          <w:rFonts w:ascii="AytoRoquetas Light Condensed" w:hAnsi="AytoRoquetas Light Condensed" w:cs="AytoRoquetas Light Condensed"/>
        </w:rPr>
      </w:pPr>
      <w:r w:rsidRPr="00716834">
        <w:rPr>
          <w:rFonts w:ascii="AytoRoquetas Light Condensed" w:hAnsi="AytoRoquetas Light Condensed" w:cs="AytoRoquetas Light Condensed"/>
        </w:rPr>
        <w:t>La concesión de autorización queda sometida a los siguientes condicionantes:</w:t>
      </w:r>
    </w:p>
    <w:p w14:paraId="67533C37" w14:textId="77777777" w:rsidR="00DF1C88" w:rsidRPr="00716834" w:rsidRDefault="00716834">
      <w:pPr>
        <w:numPr>
          <w:ilvl w:val="0"/>
          <w:numId w:val="2"/>
        </w:numPr>
        <w:tabs>
          <w:tab w:val="left" w:pos="720"/>
        </w:tabs>
        <w:spacing w:after="0" w:line="288" w:lineRule="auto"/>
        <w:ind w:left="720"/>
        <w:jc w:val="both"/>
        <w:rPr>
          <w:rFonts w:ascii="AytoRoquetas Light Condensed" w:hAnsi="AytoRoquetas Light Condensed" w:cs="AytoRoquetas Light Condensed"/>
        </w:rPr>
      </w:pPr>
      <w:r w:rsidRPr="00716834">
        <w:rPr>
          <w:rFonts w:ascii="AytoRoquetas Light Condensed" w:hAnsi="AytoRoquetas Light Condensed" w:cs="AytoRoquetas Light Condensed"/>
        </w:rPr>
        <w:t>La entrega a gestores autorizados de los residuos potencialmente vertibles a la red, tipo aceites usados y grasas, que será necesario acreditar anualmente a Hidralia.</w:t>
      </w:r>
    </w:p>
    <w:p w14:paraId="67533C38" w14:textId="77777777" w:rsidR="00DF1C88" w:rsidRPr="00716834" w:rsidRDefault="00DF1C88">
      <w:pPr>
        <w:spacing w:after="0" w:line="288" w:lineRule="auto"/>
        <w:jc w:val="both"/>
        <w:rPr>
          <w:rFonts w:ascii="AytoRoquetas Light Condensed" w:hAnsi="AytoRoquetas Light Condensed" w:cs="AytoRoquetas Light Condensed"/>
        </w:rPr>
      </w:pPr>
    </w:p>
    <w:p w14:paraId="67533C39" w14:textId="77777777" w:rsidR="00DF1C88" w:rsidRPr="00716834" w:rsidRDefault="00716834">
      <w:pPr>
        <w:numPr>
          <w:ilvl w:val="0"/>
          <w:numId w:val="2"/>
        </w:numPr>
        <w:tabs>
          <w:tab w:val="left" w:pos="720"/>
        </w:tabs>
        <w:spacing w:after="0" w:line="288" w:lineRule="auto"/>
        <w:ind w:left="720"/>
        <w:jc w:val="both"/>
        <w:rPr>
          <w:rFonts w:ascii="AytoRoquetas Light Condensed" w:hAnsi="AytoRoquetas Light Condensed" w:cs="AytoRoquetas Light Condensed"/>
        </w:rPr>
      </w:pPr>
      <w:r w:rsidRPr="00716834">
        <w:rPr>
          <w:rFonts w:ascii="AytoRoquetas Light Condensed" w:hAnsi="AytoRoquetas Light Condensed" w:cs="AytoRoquetas Light Condensed"/>
        </w:rPr>
        <w:t>Para comprobar el correcto funcionamiento de las instalaciones, anualmente se realizará un análisis sobre una muestra de agua residual tomada por el equipo técnico designado por el Consorcio, quién las pondrá a su disposición con el fin de que proceda a su entrega a un laboratorio acreditado oficialmente (ENAC), con indicación del contenido y alcance del análisis. La certificación acreditativa de esos análisis deberá ser remitida a Hidralia, quedando suspendida la autorización si se superasen los límites establecidos en la Ordenanza de Vertidos.</w:t>
      </w:r>
    </w:p>
    <w:p w14:paraId="67533C3A" w14:textId="77777777" w:rsidR="00DF1C88" w:rsidRDefault="00DF1C88">
      <w:pPr>
        <w:spacing w:after="0" w:line="288" w:lineRule="auto"/>
        <w:jc w:val="both"/>
        <w:rPr>
          <w:rFonts w:ascii="AytoRoquetas Light Condensed" w:hAnsi="AytoRoquetas Light Condensed" w:cs="AytoRoquetas Light Condensed"/>
        </w:rPr>
      </w:pPr>
    </w:p>
    <w:p w14:paraId="67533C3B" w14:textId="77777777" w:rsidR="00DF1C88" w:rsidRDefault="00716834">
      <w:pPr>
        <w:spacing w:after="0" w:line="288" w:lineRule="auto"/>
        <w:ind w:firstLine="709"/>
        <w:jc w:val="both"/>
        <w:rPr>
          <w:rFonts w:ascii="AytoRoquetas Light Condensed" w:hAnsi="AytoRoquetas Light Condensed" w:cs="AytoRoquetas Light Condensed"/>
        </w:rPr>
      </w:pPr>
      <w:r>
        <w:rPr>
          <w:rFonts w:ascii="AytoRoquetas Light Condensed" w:hAnsi="AytoRoquetas Light Condensed" w:cs="AytoRoquetas Light Condensed"/>
        </w:rPr>
        <w:t>El término de cuota ambiental se aplicará según se detalla en el Anexo 8 de la Ordenanza.</w:t>
      </w:r>
    </w:p>
    <w:p w14:paraId="67533C3C" w14:textId="77777777" w:rsidR="00DF1C88" w:rsidRDefault="00DF1C88">
      <w:pPr>
        <w:spacing w:after="0" w:line="288" w:lineRule="auto"/>
        <w:ind w:firstLine="709"/>
        <w:jc w:val="both"/>
        <w:rPr>
          <w:rFonts w:ascii="AytoRoquetas Light Condensed" w:hAnsi="AytoRoquetas Light Condensed" w:cs="AytoRoquetas Light Condensed"/>
        </w:rPr>
      </w:pPr>
    </w:p>
    <w:p w14:paraId="67533C3D" w14:textId="4D094D07" w:rsidR="00DF1C88" w:rsidRDefault="00716834">
      <w:pPr>
        <w:spacing w:after="0" w:line="288" w:lineRule="auto"/>
        <w:ind w:firstLine="709"/>
        <w:jc w:val="both"/>
        <w:rPr>
          <w:rFonts w:ascii="AytoRoquetas Light Condensed" w:hAnsi="AytoRoquetas Light Condensed" w:cs="AytoRoquetas Light Condensed"/>
        </w:rPr>
      </w:pPr>
      <w:r>
        <w:rPr>
          <w:rFonts w:ascii="AytoRoquetas Light Condensed" w:hAnsi="AytoRoquetas Light Condensed" w:cs="AytoRoquetas Light Condensed"/>
        </w:rPr>
        <w:lastRenderedPageBreak/>
        <w:t>Dicha autorización no exime al titular de la observancia de otras disciplinas, autorizaciones, permisos, etc… a que hubiere lugar de acuerdo a las normativas de aplicación y de cuantas medidas sean de aplicación en materia de almacenamiento de residuos, sustancias, etc… que por su condición o peligrosidad deban ser tenidas en cuenta con el fin de prevenir su vertido accidental en las redes de saneamiento, y solo se emite a efectos de admisión del vertido en las redes de saneamiento municipales.</w:t>
      </w:r>
    </w:p>
    <w:p w14:paraId="67533C3E" w14:textId="77777777" w:rsidR="00DF1C88" w:rsidRDefault="00DF1C88">
      <w:pPr>
        <w:spacing w:after="0" w:line="288" w:lineRule="auto"/>
        <w:ind w:firstLine="709"/>
        <w:jc w:val="both"/>
        <w:rPr>
          <w:rFonts w:ascii="AytoRoquetas Light Condensed" w:hAnsi="AytoRoquetas Light Condensed" w:cs="AytoRoquetas Light Condensed"/>
        </w:rPr>
      </w:pPr>
    </w:p>
    <w:p w14:paraId="67533C3F" w14:textId="77777777" w:rsidR="00DF1C88" w:rsidRDefault="00716834">
      <w:pPr>
        <w:spacing w:after="0" w:line="288" w:lineRule="auto"/>
        <w:ind w:firstLine="709"/>
        <w:jc w:val="both"/>
        <w:rPr>
          <w:rFonts w:ascii="AytoRoquetas Light Condensed" w:hAnsi="AytoRoquetas Light Condensed" w:cs="AytoRoquetas Light Condensed"/>
        </w:rPr>
      </w:pPr>
      <w:r>
        <w:rPr>
          <w:rFonts w:ascii="AytoRoquetas Light Condensed" w:hAnsi="AytoRoquetas Light Condensed" w:cs="AytoRoquetas Light Condensed"/>
        </w:rPr>
        <w:t>Todo ello sin perjuicio que con posterioridad pudiera demostrarse la presencia de sustancia prohibidas del Anexo 1 o que superen los valores máximos tolerados de sustancias del Anexo 2, en cuyo caso se suspendería la autorización de vertido, con las consecuencias descritas en la Ordenanza.</w:t>
      </w:r>
    </w:p>
    <w:p w14:paraId="67533C40" w14:textId="77777777" w:rsidR="00DF1C88" w:rsidRDefault="00DF1C88">
      <w:pPr>
        <w:spacing w:after="0" w:line="288" w:lineRule="auto"/>
        <w:ind w:firstLine="709"/>
        <w:jc w:val="both"/>
        <w:rPr>
          <w:rFonts w:ascii="AytoRoquetas Light Condensed" w:hAnsi="AytoRoquetas Light Condensed" w:cs="AytoRoquetas Light Condensed"/>
        </w:rPr>
      </w:pPr>
    </w:p>
    <w:p w14:paraId="67533C41" w14:textId="77777777" w:rsidR="00DF1C88" w:rsidRDefault="00716834">
      <w:pPr>
        <w:spacing w:after="0" w:line="288" w:lineRule="auto"/>
        <w:ind w:firstLine="709"/>
        <w:jc w:val="both"/>
        <w:rPr>
          <w:rFonts w:ascii="AytoRoquetas Light Condensed" w:hAnsi="AytoRoquetas Light Condensed" w:cs="AytoRoquetas Light Condensed"/>
        </w:rPr>
      </w:pPr>
      <w:r>
        <w:rPr>
          <w:rFonts w:ascii="AytoRoquetas Light Condensed" w:hAnsi="AytoRoquetas Light Condensed" w:cs="AytoRoquetas Light Condensed"/>
        </w:rPr>
        <w:t>La calificación del vertido es a fecha de expedición.</w:t>
      </w:r>
    </w:p>
    <w:p w14:paraId="67533C42" w14:textId="77777777" w:rsidR="00DF1C88" w:rsidRDefault="00DF1C88">
      <w:pPr>
        <w:spacing w:after="0" w:line="288" w:lineRule="auto"/>
        <w:ind w:firstLine="709"/>
        <w:jc w:val="both"/>
        <w:rPr>
          <w:rFonts w:ascii="AytoRoquetas Light Condensed" w:hAnsi="AytoRoquetas Light Condensed" w:cs="AytoRoquetas Light Condensed"/>
        </w:rPr>
      </w:pPr>
    </w:p>
    <w:p w14:paraId="67533C43" w14:textId="77777777" w:rsidR="00DF1C88" w:rsidRDefault="00716834">
      <w:pPr>
        <w:spacing w:after="0" w:line="288" w:lineRule="auto"/>
        <w:ind w:firstLine="709"/>
        <w:jc w:val="both"/>
        <w:rPr>
          <w:rFonts w:ascii="AytoRoquetas Light Condensed" w:hAnsi="AytoRoquetas Light Condensed" w:cs="AytoRoquetas Light Condensed"/>
        </w:rPr>
      </w:pPr>
      <w:r>
        <w:rPr>
          <w:rFonts w:ascii="AytoRoquetas Light Condensed" w:hAnsi="AytoRoquetas Light Condensed" w:cs="AytoRoquetas Light Condensed"/>
          <w:b/>
          <w:bCs/>
        </w:rPr>
        <w:t>2º</w:t>
      </w:r>
      <w:r>
        <w:rPr>
          <w:rFonts w:ascii="AytoRoquetas Light Condensed" w:hAnsi="AytoRoquetas Light Condensed" w:cs="AytoRoquetas Light Condensed"/>
        </w:rPr>
        <w:t>. Dar traslado del presente Decreto al interesado.</w:t>
      </w:r>
    </w:p>
    <w:p w14:paraId="67533C44" w14:textId="77777777" w:rsidR="00DF1C88" w:rsidRDefault="007168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AytoRoquetas Light Condensed" w:hAnsi="AytoRoquetas Light Condensed" w:cs="AytoRoquetas Light Condensed"/>
        </w:rPr>
      </w:pPr>
      <w:r>
        <w:rPr>
          <w:rFonts w:ascii="AytoRoquetas Light Condensed" w:hAnsi="AytoRoquetas Light Condensed" w:cs="AytoRoquetas Light Condensed"/>
          <w:color w:val="FF0000"/>
        </w:rPr>
        <w:t>&lt;/DEC_GEN&gt;</w:t>
      </w:r>
    </w:p>
    <w:p w14:paraId="67533C45" w14:textId="77777777" w:rsidR="00DF1C88" w:rsidRDefault="00716834">
      <w:pPr>
        <w:spacing w:after="0" w:line="288" w:lineRule="auto"/>
        <w:ind w:firstLine="567"/>
        <w:jc w:val="both"/>
        <w:rPr>
          <w:rFonts w:ascii="AytoRoquetas Light Condensed" w:hAnsi="AytoRoquetas Light Condensed" w:cs="AytoRoquetas Light Condensed"/>
          <w:color w:val="000000"/>
        </w:rPr>
      </w:pPr>
      <w:r>
        <w:rPr>
          <w:rFonts w:ascii="AytoRoquetas Light Condensed" w:hAnsi="AytoRoquetas Light Condensed" w:cs="AytoRoquetas Light Condensed"/>
          <w:color w:val="000000"/>
        </w:rPr>
        <w:t>La presente resolución ha sido firmada electrónicamente, de acuerdo con lo establecido en la Ley 40/2015, de 1 de octubre, de Régimen Jurídico del Sector Público, por la autoridad competente y transcrita al Libro de Resoluciones por la secretaría municipal con el número y fecha al margen reseñado, como garantía de autenticidad e integridad.</w:t>
      </w:r>
    </w:p>
    <w:p w14:paraId="67533C46" w14:textId="77777777" w:rsidR="00DF1C88" w:rsidRDefault="00DF1C88">
      <w:pPr>
        <w:spacing w:after="0" w:line="288" w:lineRule="auto"/>
        <w:ind w:firstLine="567"/>
        <w:jc w:val="both"/>
        <w:rPr>
          <w:rFonts w:ascii="AytoRoquetas Light Condensed" w:hAnsi="AytoRoquetas Light Condensed" w:cs="AytoRoquetas Light Condensed"/>
          <w:color w:val="000000"/>
        </w:rPr>
      </w:pPr>
    </w:p>
    <w:sectPr w:rsidR="00DF1C88">
      <w:headerReference w:type="default" r:id="rId7"/>
      <w:footerReference w:type="default" r:id="rId8"/>
      <w:pgSz w:w="11906" w:h="16838"/>
      <w:pgMar w:top="3119" w:right="1531" w:bottom="1701" w:left="1814" w:header="709"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533C4F" w14:textId="77777777" w:rsidR="00716834" w:rsidRDefault="00716834">
      <w:pPr>
        <w:spacing w:after="0" w:line="240" w:lineRule="auto"/>
      </w:pPr>
      <w:r>
        <w:separator/>
      </w:r>
    </w:p>
  </w:endnote>
  <w:endnote w:type="continuationSeparator" w:id="0">
    <w:p w14:paraId="67533C51" w14:textId="77777777" w:rsidR="00716834" w:rsidRDefault="007168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00000000" w:usb1="00000000" w:usb2="00000000" w:usb3="00000000" w:csb0="00000001" w:csb1="00000000"/>
  </w:font>
  <w:font w:name="AytoRoquetas Light Condensed">
    <w:panose1 w:val="020B0406020504020204"/>
    <w:charset w:val="00"/>
    <w:family w:val="swiss"/>
    <w:pitch w:val="variable"/>
    <w:sig w:usb0="00000005"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533C4A" w14:textId="77777777" w:rsidR="00DF1C88" w:rsidRDefault="00DF1C88">
    <w:pPr>
      <w:widowControl w:val="0"/>
      <w:tabs>
        <w:tab w:val="left" w:pos="7800"/>
      </w:tabs>
      <w:spacing w:after="0" w:line="240" w:lineRule="atLeast"/>
      <w:rPr>
        <w:rFonts w:ascii="Verdana" w:hAnsi="Verdana" w:cs="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533C4B" w14:textId="77777777" w:rsidR="00716834" w:rsidRDefault="00716834">
      <w:pPr>
        <w:spacing w:after="0" w:line="240" w:lineRule="auto"/>
      </w:pPr>
      <w:r>
        <w:separator/>
      </w:r>
    </w:p>
  </w:footnote>
  <w:footnote w:type="continuationSeparator" w:id="0">
    <w:p w14:paraId="67533C4D" w14:textId="77777777" w:rsidR="00716834" w:rsidRDefault="007168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533C47" w14:textId="77777777" w:rsidR="00DF1C88" w:rsidRDefault="0081016D">
    <w:pPr>
      <w:pStyle w:val="Encabezado6"/>
      <w:tabs>
        <w:tab w:val="clear" w:pos="4252"/>
        <w:tab w:val="clear" w:pos="8504"/>
        <w:tab w:val="left" w:pos="3281"/>
      </w:tabs>
      <w:spacing w:after="0" w:line="240" w:lineRule="atLeast"/>
      <w:rPr>
        <w:rFonts w:ascii="Times New Roman" w:hAnsi="Times New Roman" w:cs="Times New Roman"/>
        <w:sz w:val="16"/>
        <w:szCs w:val="16"/>
      </w:rPr>
    </w:pPr>
    <w:r>
      <w:rPr>
        <w:rFonts w:ascii="Times New Roman" w:hAnsi="Times New Roman" w:cs="Times New Roman"/>
        <w:sz w:val="16"/>
        <w:szCs w:val="16"/>
      </w:rPr>
      <w:pict w14:anchorId="67533C4B">
        <v:shapetype id="_x0000_t202" coordsize="21600,21600" o:spt="202" path="m,l,21600r21600,l21600,xe">
          <v:stroke joinstyle="miter"/>
          <v:path gradientshapeok="t" o:connecttype="rect"/>
        </v:shapetype>
        <v:shape id="Text Box 10" o:spid="_x0000_s2049" type="#_x0000_t202" style="position:absolute;margin-left:-34pt;margin-top:0;width:2in;height:54pt;z-index:251658240;mso-wrap-distance-left:0;mso-wrap-distance-right:0" stroked="f">
          <v:textbox>
            <w:txbxContent>
              <w:p w14:paraId="67533C4D" w14:textId="77777777" w:rsidR="00DF1C88" w:rsidRDefault="00716834">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Plaza de la Constitución, 1</w:t>
                </w:r>
              </w:p>
              <w:p w14:paraId="67533C4E" w14:textId="77777777" w:rsidR="00DF1C88" w:rsidRDefault="00716834">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04740 Roquetas de Mar, Almería</w:t>
                </w:r>
              </w:p>
              <w:p w14:paraId="67533C4F" w14:textId="77777777" w:rsidR="00DF1C88" w:rsidRDefault="00716834">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Tels.: 950 33 85 85 – 950 33 86 19</w:t>
                </w:r>
              </w:p>
              <w:p w14:paraId="67533C50" w14:textId="77777777" w:rsidR="00DF1C88" w:rsidRDefault="00716834">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Fax: 950 32 15 14</w:t>
                </w:r>
              </w:p>
            </w:txbxContent>
          </v:textbox>
          <w10:wrap type="square"/>
        </v:shape>
      </w:pict>
    </w:r>
    <w:r w:rsidR="00716834">
      <w:rPr>
        <w:rFonts w:ascii="Times New Roman" w:hAnsi="Times New Roman" w:cs="Times New Roman"/>
        <w:sz w:val="16"/>
        <w:szCs w:val="16"/>
      </w:rPr>
      <w:tab/>
    </w:r>
  </w:p>
  <w:p w14:paraId="67533C48" w14:textId="77777777" w:rsidR="00DF1C88" w:rsidRDefault="0081016D">
    <w:pPr>
      <w:pStyle w:val="Encabezado22"/>
      <w:tabs>
        <w:tab w:val="clear" w:pos="8504"/>
        <w:tab w:val="right" w:pos="8391"/>
      </w:tabs>
      <w:spacing w:after="0" w:line="240" w:lineRule="atLeast"/>
      <w:jc w:val="right"/>
      <w:rPr>
        <w:rFonts w:ascii="Times New Roman" w:hAnsi="Times New Roman" w:cs="Times New Roman"/>
        <w:sz w:val="16"/>
        <w:szCs w:val="16"/>
      </w:rPr>
    </w:pPr>
    <w:r>
      <w:rPr>
        <w:rFonts w:ascii="Times New Roman" w:hAnsi="Times New Roman" w:cs="Times New Roman"/>
        <w:sz w:val="16"/>
        <w:szCs w:val="16"/>
      </w:rPr>
      <w:pict w14:anchorId="67533C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tx_id_1_" o:spid="_x0000_s2050" type="#_x0000_t75" style="position:absolute;left:0;text-align:left;margin-left:311.3pt;margin-top:0;width:150.75pt;height:61.5pt;z-index:251659264;mso-wrap-distance-left:0;mso-wrap-distance-right:0">
          <v:imagedata r:id="rId1" o:title=""/>
          <w10:wrap type="square"/>
        </v:shape>
      </w:pict>
    </w:r>
  </w:p>
  <w:p w14:paraId="67533C49" w14:textId="77777777" w:rsidR="00DF1C88" w:rsidRDefault="00DF1C88">
    <w:pPr>
      <w:pStyle w:val="Normal0"/>
      <w:widowControl/>
      <w:tabs>
        <w:tab w:val="center" w:pos="4252"/>
        <w:tab w:val="right" w:pos="8391"/>
      </w:tabs>
      <w:spacing w:line="240" w:lineRule="atLeast"/>
      <w:jc w:val="both"/>
      <w:rPr>
        <w:rFonts w:ascii="Times New Roman" w:hAnsi="Times New Roman" w:cs="Times New Roman"/>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bullet"/>
      <w:lvlText w:val=""/>
      <w:lvlJc w:val="left"/>
      <w:pPr>
        <w:ind w:hanging="360"/>
      </w:pPr>
      <w:rPr>
        <w:rFonts w:ascii="Symbol" w:hAnsi="Symbol" w:hint="default"/>
        <w:b w:val="0"/>
        <w:i w:val="0"/>
        <w:strike w:val="0"/>
        <w:color w:val="auto"/>
        <w:sz w:val="22"/>
        <w:u w:val="none"/>
      </w:rPr>
    </w:lvl>
    <w:lvl w:ilvl="1">
      <w:start w:val="1"/>
      <w:numFmt w:val="bullet"/>
      <w:lvlText w:val=""/>
      <w:lvlJc w:val="left"/>
      <w:pPr>
        <w:ind w:hanging="360"/>
      </w:pPr>
      <w:rPr>
        <w:rFonts w:ascii="Symbol" w:hAnsi="Symbol" w:hint="default"/>
        <w:b w:val="0"/>
        <w:i w:val="0"/>
        <w:strike w:val="0"/>
        <w:color w:val="auto"/>
        <w:sz w:val="22"/>
        <w:u w:val="none"/>
      </w:rPr>
    </w:lvl>
    <w:lvl w:ilvl="2">
      <w:start w:val="1"/>
      <w:numFmt w:val="bullet"/>
      <w:lvlText w:val=""/>
      <w:lvlJc w:val="left"/>
      <w:pPr>
        <w:ind w:hanging="360"/>
      </w:pPr>
      <w:rPr>
        <w:rFonts w:ascii="Symbol" w:hAnsi="Symbol" w:hint="default"/>
        <w:b w:val="0"/>
        <w:i w:val="0"/>
        <w:strike w:val="0"/>
        <w:color w:val="auto"/>
        <w:sz w:val="22"/>
        <w:u w:val="none"/>
      </w:rPr>
    </w:lvl>
    <w:lvl w:ilvl="3">
      <w:start w:val="1"/>
      <w:numFmt w:val="bullet"/>
      <w:lvlText w:val=""/>
      <w:lvlJc w:val="left"/>
      <w:pPr>
        <w:ind w:hanging="360"/>
      </w:pPr>
      <w:rPr>
        <w:rFonts w:ascii="Symbol" w:hAnsi="Symbol" w:hint="default"/>
        <w:b w:val="0"/>
        <w:i w:val="0"/>
        <w:strike w:val="0"/>
        <w:color w:val="auto"/>
        <w:sz w:val="22"/>
        <w:u w:val="none"/>
      </w:rPr>
    </w:lvl>
    <w:lvl w:ilvl="4">
      <w:start w:val="1"/>
      <w:numFmt w:val="bullet"/>
      <w:lvlText w:val=""/>
      <w:lvlJc w:val="left"/>
      <w:pPr>
        <w:ind w:hanging="360"/>
      </w:pPr>
      <w:rPr>
        <w:rFonts w:ascii="Symbol" w:hAnsi="Symbol" w:hint="default"/>
        <w:b w:val="0"/>
        <w:i w:val="0"/>
        <w:strike w:val="0"/>
        <w:color w:val="auto"/>
        <w:sz w:val="22"/>
        <w:u w:val="none"/>
      </w:rPr>
    </w:lvl>
    <w:lvl w:ilvl="5">
      <w:start w:val="1"/>
      <w:numFmt w:val="bullet"/>
      <w:lvlText w:val=""/>
      <w:lvlJc w:val="left"/>
      <w:pPr>
        <w:ind w:hanging="360"/>
      </w:pPr>
      <w:rPr>
        <w:rFonts w:ascii="Symbol" w:hAnsi="Symbol" w:hint="default"/>
        <w:b w:val="0"/>
        <w:i w:val="0"/>
        <w:strike w:val="0"/>
        <w:color w:val="auto"/>
        <w:sz w:val="22"/>
        <w:u w:val="none"/>
      </w:rPr>
    </w:lvl>
    <w:lvl w:ilvl="6">
      <w:start w:val="1"/>
      <w:numFmt w:val="bullet"/>
      <w:lvlText w:val=""/>
      <w:lvlJc w:val="left"/>
      <w:pPr>
        <w:ind w:hanging="360"/>
      </w:pPr>
      <w:rPr>
        <w:rFonts w:ascii="Symbol" w:hAnsi="Symbol" w:hint="default"/>
        <w:b w:val="0"/>
        <w:i w:val="0"/>
        <w:strike w:val="0"/>
        <w:color w:val="auto"/>
        <w:sz w:val="22"/>
        <w:u w:val="none"/>
      </w:rPr>
    </w:lvl>
    <w:lvl w:ilvl="7">
      <w:start w:val="1"/>
      <w:numFmt w:val="bullet"/>
      <w:lvlText w:val=""/>
      <w:lvlJc w:val="left"/>
      <w:pPr>
        <w:ind w:hanging="360"/>
      </w:pPr>
      <w:rPr>
        <w:rFonts w:ascii="Symbol" w:hAnsi="Symbol" w:hint="default"/>
        <w:b w:val="0"/>
        <w:i w:val="0"/>
        <w:strike w:val="0"/>
        <w:color w:val="auto"/>
        <w:sz w:val="22"/>
        <w:u w:val="none"/>
      </w:rPr>
    </w:lvl>
    <w:lvl w:ilvl="8">
      <w:start w:val="1"/>
      <w:numFmt w:val="bullet"/>
      <w:lvlText w:val=""/>
      <w:lvlJc w:val="left"/>
      <w:pPr>
        <w:ind w:hanging="360"/>
      </w:pPr>
      <w:rPr>
        <w:rFonts w:ascii="Symbol" w:hAnsi="Symbol" w:hint="default"/>
        <w:b w:val="0"/>
        <w:i w:val="0"/>
        <w:strike w:val="0"/>
        <w:color w:val="auto"/>
        <w:sz w:val="22"/>
        <w:u w:val="none"/>
      </w:rPr>
    </w:lvl>
  </w:abstractNum>
  <w:num w:numId="1" w16cid:durableId="425031761">
    <w:abstractNumId w:val="0"/>
  </w:num>
  <w:num w:numId="2" w16cid:durableId="510527019">
    <w:abstractNumId w:val="0"/>
    <w:lvlOverride w:ilvl="0">
      <w:lvl w:ilvl="0">
        <w:start w:val="1"/>
        <w:numFmt w:val="bullet"/>
        <w:lvlText w:val=""/>
        <w:lvlJc w:val="left"/>
        <w:pPr>
          <w:ind w:hanging="360"/>
        </w:pPr>
        <w:rPr>
          <w:rFonts w:ascii="Symbol" w:hAnsi="Symbol" w:hint="default"/>
          <w:b w:val="0"/>
          <w:i w:val="0"/>
          <w:strike w:val="0"/>
          <w:color w:val="FF0000"/>
          <w:sz w:val="22"/>
          <w:u w:val="none"/>
        </w:rPr>
      </w:lvl>
    </w:lvlOverride>
    <w:lvlOverride w:ilvl="1">
      <w:lvl w:ilvl="1">
        <w:start w:val="1"/>
        <w:numFmt w:val="bullet"/>
        <w:lvlText w:val=""/>
        <w:lvlJc w:val="left"/>
        <w:pPr>
          <w:ind w:hanging="360"/>
        </w:pPr>
        <w:rPr>
          <w:rFonts w:ascii="Symbol" w:hAnsi="Symbol" w:hint="default"/>
          <w:b w:val="0"/>
          <w:i w:val="0"/>
          <w:strike w:val="0"/>
          <w:color w:val="auto"/>
          <w:sz w:val="22"/>
          <w:u w:val="none"/>
        </w:rPr>
      </w:lvl>
    </w:lvlOverride>
    <w:lvlOverride w:ilvl="2">
      <w:lvl w:ilvl="2">
        <w:start w:val="1"/>
        <w:numFmt w:val="bullet"/>
        <w:lvlText w:val=""/>
        <w:lvlJc w:val="left"/>
        <w:pPr>
          <w:ind w:hanging="360"/>
        </w:pPr>
        <w:rPr>
          <w:rFonts w:ascii="Symbol" w:hAnsi="Symbol" w:hint="default"/>
          <w:b w:val="0"/>
          <w:i w:val="0"/>
          <w:strike w:val="0"/>
          <w:color w:val="auto"/>
          <w:sz w:val="22"/>
          <w:u w:val="none"/>
        </w:rPr>
      </w:lvl>
    </w:lvlOverride>
    <w:lvlOverride w:ilvl="3">
      <w:lvl w:ilvl="3">
        <w:start w:val="1"/>
        <w:numFmt w:val="bullet"/>
        <w:lvlText w:val=""/>
        <w:lvlJc w:val="left"/>
        <w:pPr>
          <w:ind w:hanging="360"/>
        </w:pPr>
        <w:rPr>
          <w:rFonts w:ascii="Symbol" w:hAnsi="Symbol" w:hint="default"/>
          <w:b w:val="0"/>
          <w:i w:val="0"/>
          <w:strike w:val="0"/>
          <w:color w:val="auto"/>
          <w:sz w:val="22"/>
          <w:u w:val="none"/>
        </w:rPr>
      </w:lvl>
    </w:lvlOverride>
    <w:lvlOverride w:ilvl="4">
      <w:lvl w:ilvl="4">
        <w:start w:val="1"/>
        <w:numFmt w:val="bullet"/>
        <w:lvlText w:val=""/>
        <w:lvlJc w:val="left"/>
        <w:pPr>
          <w:ind w:hanging="360"/>
        </w:pPr>
        <w:rPr>
          <w:rFonts w:ascii="Symbol" w:hAnsi="Symbol" w:hint="default"/>
          <w:b w:val="0"/>
          <w:i w:val="0"/>
          <w:strike w:val="0"/>
          <w:color w:val="auto"/>
          <w:sz w:val="22"/>
          <w:u w:val="none"/>
        </w:rPr>
      </w:lvl>
    </w:lvlOverride>
    <w:lvlOverride w:ilvl="5">
      <w:lvl w:ilvl="5">
        <w:start w:val="1"/>
        <w:numFmt w:val="bullet"/>
        <w:lvlText w:val=""/>
        <w:lvlJc w:val="left"/>
        <w:pPr>
          <w:ind w:hanging="360"/>
        </w:pPr>
        <w:rPr>
          <w:rFonts w:ascii="Symbol" w:hAnsi="Symbol" w:hint="default"/>
          <w:b w:val="0"/>
          <w:i w:val="0"/>
          <w:strike w:val="0"/>
          <w:color w:val="auto"/>
          <w:sz w:val="22"/>
          <w:u w:val="none"/>
        </w:rPr>
      </w:lvl>
    </w:lvlOverride>
    <w:lvlOverride w:ilvl="6">
      <w:lvl w:ilvl="6">
        <w:start w:val="1"/>
        <w:numFmt w:val="bullet"/>
        <w:lvlText w:val=""/>
        <w:lvlJc w:val="left"/>
        <w:pPr>
          <w:ind w:hanging="360"/>
        </w:pPr>
        <w:rPr>
          <w:rFonts w:ascii="Symbol" w:hAnsi="Symbol" w:hint="default"/>
          <w:b w:val="0"/>
          <w:i w:val="0"/>
          <w:strike w:val="0"/>
          <w:color w:val="auto"/>
          <w:sz w:val="22"/>
          <w:u w:val="none"/>
        </w:rPr>
      </w:lvl>
    </w:lvlOverride>
    <w:lvlOverride w:ilvl="7">
      <w:lvl w:ilvl="7">
        <w:start w:val="1"/>
        <w:numFmt w:val="bullet"/>
        <w:lvlText w:val=""/>
        <w:lvlJc w:val="left"/>
        <w:pPr>
          <w:ind w:hanging="360"/>
        </w:pPr>
        <w:rPr>
          <w:rFonts w:ascii="Symbol" w:hAnsi="Symbol" w:hint="default"/>
          <w:b w:val="0"/>
          <w:i w:val="0"/>
          <w:strike w:val="0"/>
          <w:color w:val="auto"/>
          <w:sz w:val="22"/>
          <w:u w:val="none"/>
        </w:rPr>
      </w:lvl>
    </w:lvlOverride>
    <w:lvlOverride w:ilvl="8">
      <w:lvl w:ilvl="8">
        <w:start w:val="1"/>
        <w:numFmt w:val="bullet"/>
        <w:lvlText w:val=""/>
        <w:lvlJc w:val="left"/>
        <w:pPr>
          <w:ind w:hanging="360"/>
        </w:pPr>
        <w:rPr>
          <w:rFonts w:ascii="Symbol" w:hAnsi="Symbol" w:hint="default"/>
          <w:b w:val="0"/>
          <w:i w:val="0"/>
          <w:strike w:val="0"/>
          <w:color w:val="auto"/>
          <w:sz w:val="22"/>
          <w:u w:val="no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134"/>
  <w:hyphenationZone w:val="425"/>
  <w:characterSpacingControl w:val="compressPunctuation"/>
  <w:hdrShapeDefaults>
    <o:shapedefaults v:ext="edit" spidmax="3074"/>
    <o:shapelayout v:ext="edit">
      <o:idmap v:ext="edit" data="1,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DF1C88"/>
    <w:rsid w:val="00685DDD"/>
    <w:rsid w:val="006A2ADD"/>
    <w:rsid w:val="00716834"/>
    <w:rsid w:val="0081016D"/>
    <w:rsid w:val="00DF1C88"/>
    <w:rsid w:val="00EF584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67533C2A"/>
  <w15:docId w15:val="{E16D1188-0FC0-47ED-BF19-17A4BD921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pPr>
      <w:autoSpaceDE w:val="0"/>
      <w:autoSpaceDN w:val="0"/>
      <w:adjustRightInd w:val="0"/>
      <w:spacing w:after="200" w:line="276" w:lineRule="auto"/>
    </w:pPr>
    <w:rPr>
      <w:rFonts w:ascii="Calibri" w:hAnsi="Calibri" w:cs="Calibr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8">
    <w:name w:val="Encabezado8"/>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1">
    <w:name w:val="Texto de globo1"/>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character" w:customStyle="1" w:styleId="EncabezadoCar">
    <w:name w:val="Encabezado Car"/>
    <w:basedOn w:val="Fuentedeprrafopredeter"/>
    <w:uiPriority w:val="99"/>
  </w:style>
  <w:style w:type="character" w:customStyle="1" w:styleId="PiedepginaCar">
    <w:name w:val="Pie de página Car"/>
    <w:basedOn w:val="Fuentedeprrafopredeter"/>
    <w:uiPriority w:val="99"/>
  </w:style>
  <w:style w:type="character" w:customStyle="1" w:styleId="EncabezadoCar1">
    <w:name w:val="Encabezado Car1"/>
    <w:basedOn w:val="Fuentedeprrafopredeter"/>
    <w:uiPriority w:val="99"/>
    <w:rPr>
      <w:rFonts w:ascii="Calibri" w:hAnsi="Calibri" w:cs="Calibri"/>
      <w:sz w:val="22"/>
      <w:szCs w:val="22"/>
    </w:rPr>
  </w:style>
  <w:style w:type="character" w:customStyle="1" w:styleId="PiedepginaCar1">
    <w:name w:val="Pie de página Car1"/>
    <w:basedOn w:val="Fuentedeprrafopredeter"/>
    <w:uiPriority w:val="99"/>
    <w:rPr>
      <w:rFonts w:ascii="Calibri" w:hAnsi="Calibri" w:cs="Calibri"/>
      <w:sz w:val="22"/>
      <w:szCs w:val="22"/>
    </w:rPr>
  </w:style>
  <w:style w:type="character" w:customStyle="1" w:styleId="EncabezadoCar2">
    <w:name w:val="Encabezado Car2"/>
    <w:basedOn w:val="Fuentedeprrafopredeter"/>
    <w:uiPriority w:val="99"/>
    <w:rPr>
      <w:rFonts w:ascii="Calibri" w:hAnsi="Calibri" w:cs="Calibri"/>
      <w:sz w:val="22"/>
      <w:szCs w:val="22"/>
    </w:rPr>
  </w:style>
  <w:style w:type="character" w:customStyle="1" w:styleId="PiedepginaCar2">
    <w:name w:val="Pie de página Car2"/>
    <w:basedOn w:val="Fuentedeprrafopredeter"/>
    <w:uiPriority w:val="99"/>
    <w:rPr>
      <w:rFonts w:ascii="Calibri" w:hAnsi="Calibri" w:cs="Calibri"/>
      <w:sz w:val="22"/>
      <w:szCs w:val="22"/>
    </w:rPr>
  </w:style>
  <w:style w:type="character" w:customStyle="1" w:styleId="TextodegloboCar">
    <w:name w:val="Texto de globo Car"/>
    <w:basedOn w:val="Fuentedeprrafopredeter"/>
    <w:uiPriority w:val="99"/>
    <w:rPr>
      <w:rFonts w:ascii="Tahoma" w:hAnsi="Tahoma" w:cs="Tahoma"/>
      <w:sz w:val="16"/>
      <w:szCs w:val="16"/>
    </w:rPr>
  </w:style>
  <w:style w:type="character" w:customStyle="1" w:styleId="EncabezadoCar3">
    <w:name w:val="Encabezado Car3"/>
    <w:basedOn w:val="Fuentedeprrafopredeter"/>
    <w:uiPriority w:val="99"/>
    <w:rPr>
      <w:rFonts w:ascii="Calibri" w:hAnsi="Calibri" w:cs="Calibri"/>
      <w:sz w:val="22"/>
      <w:szCs w:val="22"/>
    </w:rPr>
  </w:style>
  <w:style w:type="character" w:customStyle="1" w:styleId="PiedepginaCar3">
    <w:name w:val="Pie de página Car3"/>
    <w:basedOn w:val="Fuentedeprrafopredeter"/>
    <w:uiPriority w:val="99"/>
    <w:rPr>
      <w:rFonts w:ascii="Calibri" w:hAnsi="Calibri" w:cs="Calibri"/>
      <w:sz w:val="22"/>
      <w:szCs w:val="22"/>
    </w:rPr>
  </w:style>
  <w:style w:type="character" w:customStyle="1" w:styleId="EncabezadoCar4">
    <w:name w:val="Encabezado Car4"/>
    <w:basedOn w:val="Fuentedeprrafopredeter"/>
    <w:uiPriority w:val="99"/>
    <w:rPr>
      <w:rFonts w:ascii="Calibri" w:hAnsi="Calibri" w:cs="Calibri"/>
      <w:sz w:val="22"/>
      <w:szCs w:val="22"/>
    </w:rPr>
  </w:style>
  <w:style w:type="character" w:customStyle="1" w:styleId="PiedepginaCar4">
    <w:name w:val="Pie de página Car4"/>
    <w:basedOn w:val="Fuentedeprrafopredeter"/>
    <w:uiPriority w:val="99"/>
    <w:rPr>
      <w:rFonts w:ascii="Calibri" w:hAnsi="Calibri" w:cs="Calibri"/>
      <w:sz w:val="22"/>
      <w:szCs w:val="22"/>
    </w:rPr>
  </w:style>
  <w:style w:type="character" w:customStyle="1" w:styleId="EncabezadoCar5">
    <w:name w:val="Encabezado Car5"/>
    <w:basedOn w:val="Fuentedeprrafopredeter"/>
    <w:uiPriority w:val="99"/>
    <w:rPr>
      <w:rFonts w:ascii="Calibri" w:hAnsi="Calibri" w:cs="Calibri"/>
      <w:sz w:val="22"/>
      <w:szCs w:val="22"/>
    </w:rPr>
  </w:style>
  <w:style w:type="character" w:customStyle="1" w:styleId="PiedepginaCar5">
    <w:name w:val="Pie de página Car5"/>
    <w:basedOn w:val="Fuentedeprrafopredeter"/>
    <w:uiPriority w:val="99"/>
    <w:rPr>
      <w:rFonts w:ascii="Calibri" w:hAnsi="Calibri" w:cs="Calibri"/>
      <w:sz w:val="22"/>
      <w:szCs w:val="22"/>
    </w:rPr>
  </w:style>
  <w:style w:type="character" w:customStyle="1" w:styleId="EncabezadoCar6">
    <w:name w:val="Encabezado Car6"/>
    <w:basedOn w:val="Fuentedeprrafopredeter"/>
    <w:uiPriority w:val="99"/>
    <w:rPr>
      <w:rFonts w:ascii="Calibri" w:hAnsi="Calibri" w:cs="Calibri"/>
      <w:sz w:val="22"/>
      <w:szCs w:val="22"/>
    </w:rPr>
  </w:style>
  <w:style w:type="character" w:customStyle="1" w:styleId="PiedepginaCar6">
    <w:name w:val="Pie de página Car6"/>
    <w:basedOn w:val="Fuentedeprrafopredeter"/>
    <w:uiPriority w:val="99"/>
    <w:rPr>
      <w:rFonts w:ascii="Calibri" w:hAnsi="Calibri" w:cs="Calibri"/>
      <w:sz w:val="22"/>
      <w:szCs w:val="22"/>
    </w:rPr>
  </w:style>
  <w:style w:type="character" w:customStyle="1" w:styleId="EncabezadoCar7">
    <w:name w:val="Encabezado Car7"/>
    <w:basedOn w:val="Fuentedeprrafopredeter"/>
    <w:uiPriority w:val="99"/>
    <w:rPr>
      <w:rFonts w:ascii="Calibri" w:hAnsi="Calibri" w:cs="Calibri"/>
      <w:sz w:val="22"/>
      <w:szCs w:val="22"/>
    </w:rPr>
  </w:style>
  <w:style w:type="character" w:customStyle="1" w:styleId="PiedepginaCar7">
    <w:name w:val="Pie de página Car7"/>
    <w:basedOn w:val="Fuentedeprrafopredeter"/>
    <w:uiPriority w:val="99"/>
    <w:rPr>
      <w:rFonts w:ascii="Calibri" w:hAnsi="Calibri" w:cs="Calibri"/>
      <w:sz w:val="22"/>
      <w:szCs w:val="22"/>
    </w:rPr>
  </w:style>
  <w:style w:type="character" w:customStyle="1" w:styleId="EncabezadoCar8">
    <w:name w:val="Encabezado Car8"/>
    <w:basedOn w:val="Fuentedeprrafopredeter"/>
    <w:uiPriority w:val="99"/>
    <w:rPr>
      <w:rFonts w:ascii="Calibri" w:hAnsi="Calibri" w:cs="Calibri"/>
      <w:sz w:val="22"/>
      <w:szCs w:val="22"/>
    </w:rPr>
  </w:style>
  <w:style w:type="character" w:customStyle="1" w:styleId="PiedepginaCar8">
    <w:name w:val="Pie de página Car8"/>
    <w:basedOn w:val="Fuentedeprrafopredeter"/>
    <w:uiPriority w:val="99"/>
    <w:rPr>
      <w:rFonts w:ascii="Calibri" w:hAnsi="Calibri" w:cs="Calibri"/>
      <w:sz w:val="22"/>
      <w:szCs w:val="22"/>
    </w:rPr>
  </w:style>
  <w:style w:type="character" w:customStyle="1" w:styleId="EncabezadoCar9">
    <w:name w:val="Encabezado Car9"/>
    <w:basedOn w:val="Fuentedeprrafopredeter"/>
    <w:uiPriority w:val="99"/>
    <w:rPr>
      <w:rFonts w:ascii="Calibri" w:hAnsi="Calibri" w:cs="Calibri"/>
      <w:sz w:val="22"/>
      <w:szCs w:val="22"/>
    </w:rPr>
  </w:style>
  <w:style w:type="character" w:customStyle="1" w:styleId="PiedepginaCar9">
    <w:name w:val="Pie de página Car9"/>
    <w:basedOn w:val="Fuentedeprrafopredeter"/>
    <w:uiPriority w:val="99"/>
    <w:rPr>
      <w:rFonts w:ascii="Calibri" w:hAnsi="Calibri" w:cs="Calibri"/>
      <w:sz w:val="22"/>
      <w:szCs w:val="22"/>
    </w:rPr>
  </w:style>
  <w:style w:type="character" w:customStyle="1" w:styleId="EncabezadoCar10">
    <w:name w:val="Encabezado Car10"/>
    <w:basedOn w:val="Fuentedeprrafopredeter"/>
    <w:uiPriority w:val="99"/>
    <w:rPr>
      <w:rFonts w:ascii="Calibri" w:hAnsi="Calibri" w:cs="Calibri"/>
      <w:sz w:val="22"/>
      <w:szCs w:val="22"/>
    </w:rPr>
  </w:style>
  <w:style w:type="character" w:customStyle="1" w:styleId="PiedepginaCar10">
    <w:name w:val="Pie de página Car10"/>
    <w:basedOn w:val="Fuentedeprrafopredeter"/>
    <w:uiPriority w:val="99"/>
    <w:rPr>
      <w:rFonts w:ascii="Calibri" w:hAnsi="Calibri" w:cs="Calibri"/>
      <w:sz w:val="22"/>
      <w:szCs w:val="22"/>
    </w:rPr>
  </w:style>
  <w:style w:type="character" w:customStyle="1" w:styleId="EncabezadoCar11">
    <w:name w:val="Encabezado Car11"/>
    <w:basedOn w:val="Fuentedeprrafopredeter"/>
    <w:uiPriority w:val="99"/>
    <w:rPr>
      <w:rFonts w:ascii="Calibri" w:hAnsi="Calibri" w:cs="Calibri"/>
      <w:sz w:val="22"/>
      <w:szCs w:val="22"/>
    </w:rPr>
  </w:style>
  <w:style w:type="character" w:customStyle="1" w:styleId="PiedepginaCar11">
    <w:name w:val="Pie de página Car11"/>
    <w:basedOn w:val="Fuentedeprrafopredeter"/>
    <w:uiPriority w:val="99"/>
    <w:rPr>
      <w:rFonts w:ascii="Calibri" w:hAnsi="Calibri" w:cs="Calibri"/>
      <w:sz w:val="22"/>
      <w:szCs w:val="22"/>
    </w:rPr>
  </w:style>
  <w:style w:type="character" w:customStyle="1" w:styleId="EncabezadoCar12">
    <w:name w:val="Encabezado Car12"/>
    <w:basedOn w:val="Fuentedeprrafopredeter"/>
    <w:uiPriority w:val="99"/>
    <w:rPr>
      <w:rFonts w:ascii="Calibri" w:hAnsi="Calibri" w:cs="Calibri"/>
      <w:sz w:val="22"/>
      <w:szCs w:val="22"/>
    </w:rPr>
  </w:style>
  <w:style w:type="character" w:customStyle="1" w:styleId="PiedepginaCar12">
    <w:name w:val="Pie de página Car12"/>
    <w:basedOn w:val="Fuentedeprrafopredeter"/>
    <w:uiPriority w:val="99"/>
    <w:rPr>
      <w:rFonts w:ascii="Calibri" w:hAnsi="Calibri" w:cs="Calibri"/>
      <w:sz w:val="22"/>
      <w:szCs w:val="22"/>
    </w:rPr>
  </w:style>
  <w:style w:type="character" w:customStyle="1" w:styleId="EncabezadoCar13">
    <w:name w:val="Encabezado Car13"/>
    <w:basedOn w:val="Fuentedeprrafopredeter"/>
    <w:uiPriority w:val="99"/>
    <w:rPr>
      <w:rFonts w:ascii="Calibri" w:hAnsi="Calibri" w:cs="Calibri"/>
      <w:sz w:val="22"/>
      <w:szCs w:val="22"/>
    </w:rPr>
  </w:style>
  <w:style w:type="character" w:customStyle="1" w:styleId="PiedepginaCar13">
    <w:name w:val="Pie de página Car13"/>
    <w:basedOn w:val="Fuentedeprrafopredeter"/>
    <w:uiPriority w:val="99"/>
    <w:rPr>
      <w:rFonts w:ascii="Calibri" w:hAnsi="Calibri" w:cs="Calibri"/>
      <w:sz w:val="22"/>
      <w:szCs w:val="22"/>
    </w:rPr>
  </w:style>
  <w:style w:type="character" w:customStyle="1" w:styleId="EncabezadoCar14">
    <w:name w:val="Encabezado Car14"/>
    <w:basedOn w:val="Fuentedeprrafopredeter"/>
    <w:uiPriority w:val="99"/>
    <w:rPr>
      <w:rFonts w:ascii="Calibri" w:hAnsi="Calibri" w:cs="Calibri"/>
      <w:sz w:val="22"/>
      <w:szCs w:val="22"/>
    </w:rPr>
  </w:style>
  <w:style w:type="character" w:customStyle="1" w:styleId="PiedepginaCar14">
    <w:name w:val="Pie de página Car14"/>
    <w:basedOn w:val="Fuentedeprrafopredeter"/>
    <w:uiPriority w:val="99"/>
    <w:rPr>
      <w:rFonts w:ascii="Calibri" w:hAnsi="Calibri" w:cs="Calibri"/>
      <w:sz w:val="22"/>
      <w:szCs w:val="22"/>
    </w:rPr>
  </w:style>
  <w:style w:type="character" w:customStyle="1" w:styleId="EncabezadoCar15">
    <w:name w:val="Encabezado Car15"/>
    <w:basedOn w:val="Fuentedeprrafopredeter"/>
    <w:uiPriority w:val="99"/>
    <w:rPr>
      <w:rFonts w:ascii="Calibri" w:hAnsi="Calibri" w:cs="Calibri"/>
      <w:sz w:val="22"/>
      <w:szCs w:val="22"/>
    </w:rPr>
  </w:style>
  <w:style w:type="character" w:customStyle="1" w:styleId="PiedepginaCar15">
    <w:name w:val="Pie de página Car15"/>
    <w:basedOn w:val="Fuentedeprrafopredeter"/>
    <w:uiPriority w:val="99"/>
    <w:rPr>
      <w:rFonts w:ascii="Calibri" w:hAnsi="Calibri" w:cs="Calibri"/>
      <w:sz w:val="22"/>
      <w:szCs w:val="22"/>
    </w:rPr>
  </w:style>
  <w:style w:type="character" w:customStyle="1" w:styleId="EncabezadoCar16">
    <w:name w:val="Encabezado Car16"/>
    <w:basedOn w:val="Fuentedeprrafopredeter"/>
    <w:uiPriority w:val="99"/>
    <w:rPr>
      <w:rFonts w:ascii="Calibri" w:hAnsi="Calibri" w:cs="Calibri"/>
      <w:sz w:val="22"/>
      <w:szCs w:val="22"/>
    </w:rPr>
  </w:style>
  <w:style w:type="character" w:customStyle="1" w:styleId="PiedepginaCar16">
    <w:name w:val="Pie de página Car16"/>
    <w:basedOn w:val="Fuentedeprrafopredeter"/>
    <w:uiPriority w:val="99"/>
    <w:rPr>
      <w:rFonts w:ascii="Calibri" w:hAnsi="Calibri" w:cs="Calibri"/>
      <w:sz w:val="22"/>
      <w:szCs w:val="22"/>
    </w:rPr>
  </w:style>
  <w:style w:type="character" w:customStyle="1" w:styleId="EncabezadoCar17">
    <w:name w:val="Encabezado Car17"/>
    <w:basedOn w:val="Fuentedeprrafopredeter"/>
    <w:uiPriority w:val="99"/>
    <w:rPr>
      <w:rFonts w:ascii="Calibri" w:hAnsi="Calibri" w:cs="Calibri"/>
      <w:sz w:val="22"/>
      <w:szCs w:val="22"/>
    </w:rPr>
  </w:style>
  <w:style w:type="character" w:customStyle="1" w:styleId="PiedepginaCar17">
    <w:name w:val="Pie de página Car17"/>
    <w:basedOn w:val="Fuentedeprrafopredeter"/>
    <w:uiPriority w:val="99"/>
    <w:rPr>
      <w:rFonts w:ascii="Calibri" w:hAnsi="Calibri" w:cs="Calibri"/>
      <w:sz w:val="22"/>
      <w:szCs w:val="22"/>
    </w:rPr>
  </w:style>
  <w:style w:type="character" w:customStyle="1" w:styleId="EncabezadoCar18">
    <w:name w:val="Encabezado Car18"/>
    <w:basedOn w:val="Fuentedeprrafopredeter"/>
    <w:uiPriority w:val="99"/>
    <w:rPr>
      <w:rFonts w:ascii="Calibri" w:hAnsi="Calibri" w:cs="Calibri"/>
      <w:sz w:val="22"/>
      <w:szCs w:val="22"/>
    </w:rPr>
  </w:style>
  <w:style w:type="character" w:customStyle="1" w:styleId="PiedepginaCar18">
    <w:name w:val="Pie de página Car18"/>
    <w:basedOn w:val="Fuentedeprrafopredeter"/>
    <w:uiPriority w:val="99"/>
    <w:rPr>
      <w:rFonts w:ascii="Calibri" w:hAnsi="Calibri" w:cs="Calibri"/>
      <w:sz w:val="22"/>
      <w:szCs w:val="22"/>
    </w:rPr>
  </w:style>
  <w:style w:type="character" w:customStyle="1" w:styleId="EncabezadoCar19">
    <w:name w:val="Encabezado Car19"/>
    <w:basedOn w:val="Fuentedeprrafopredeter"/>
    <w:uiPriority w:val="99"/>
    <w:rPr>
      <w:rFonts w:ascii="Calibri" w:hAnsi="Calibri" w:cs="Calibri"/>
      <w:sz w:val="22"/>
      <w:szCs w:val="22"/>
    </w:rPr>
  </w:style>
  <w:style w:type="character" w:customStyle="1" w:styleId="PiedepginaCar19">
    <w:name w:val="Pie de página Car19"/>
    <w:basedOn w:val="Fuentedeprrafopredeter"/>
    <w:uiPriority w:val="99"/>
    <w:rPr>
      <w:rFonts w:ascii="Calibri" w:hAnsi="Calibri" w:cs="Calibri"/>
      <w:sz w:val="22"/>
      <w:szCs w:val="22"/>
    </w:rPr>
  </w:style>
  <w:style w:type="character" w:customStyle="1" w:styleId="EncabezadoCar20">
    <w:name w:val="Encabezado Car20"/>
    <w:basedOn w:val="Fuentedeprrafopredeter"/>
    <w:uiPriority w:val="99"/>
    <w:rPr>
      <w:rFonts w:ascii="Calibri" w:hAnsi="Calibri" w:cs="Calibri"/>
      <w:sz w:val="22"/>
      <w:szCs w:val="22"/>
    </w:rPr>
  </w:style>
  <w:style w:type="character" w:customStyle="1" w:styleId="PiedepginaCar20">
    <w:name w:val="Pie de página Car20"/>
    <w:basedOn w:val="Fuentedeprrafopredeter"/>
    <w:uiPriority w:val="99"/>
    <w:rPr>
      <w:rFonts w:ascii="Calibri" w:hAnsi="Calibri" w:cs="Calibri"/>
      <w:sz w:val="22"/>
      <w:szCs w:val="22"/>
    </w:rPr>
  </w:style>
  <w:style w:type="character" w:customStyle="1" w:styleId="EncabezadoCar21">
    <w:name w:val="Encabezado Car21"/>
    <w:basedOn w:val="Fuentedeprrafopredeter"/>
    <w:uiPriority w:val="99"/>
    <w:rPr>
      <w:rFonts w:ascii="Calibri" w:hAnsi="Calibri" w:cs="Calibri"/>
      <w:sz w:val="22"/>
      <w:szCs w:val="22"/>
    </w:rPr>
  </w:style>
  <w:style w:type="character" w:customStyle="1" w:styleId="PiedepginaCar21">
    <w:name w:val="Pie de página Car21"/>
    <w:basedOn w:val="Fuentedeprrafopredeter"/>
    <w:uiPriority w:val="99"/>
    <w:rPr>
      <w:rFonts w:ascii="Calibri" w:hAnsi="Calibri" w:cs="Calibri"/>
      <w:sz w:val="22"/>
      <w:szCs w:val="22"/>
    </w:rPr>
  </w:style>
  <w:style w:type="character" w:customStyle="1" w:styleId="EncabezadoCar22">
    <w:name w:val="Encabezado Car22"/>
    <w:basedOn w:val="Fuentedeprrafopredeter"/>
    <w:uiPriority w:val="99"/>
    <w:rPr>
      <w:rFonts w:ascii="Calibri" w:hAnsi="Calibri" w:cs="Calibri"/>
      <w:sz w:val="22"/>
      <w:szCs w:val="22"/>
    </w:rPr>
  </w:style>
  <w:style w:type="character" w:customStyle="1" w:styleId="PiedepginaCar22">
    <w:name w:val="Pie de página Car22"/>
    <w:basedOn w:val="Fuentedeprrafopredeter"/>
    <w:uiPriority w:val="99"/>
    <w:rPr>
      <w:rFonts w:ascii="Calibri" w:hAnsi="Calibri" w:cs="Calibri"/>
      <w:sz w:val="22"/>
      <w:szCs w:val="22"/>
    </w:rPr>
  </w:style>
  <w:style w:type="character" w:customStyle="1" w:styleId="EncabezadoCar23">
    <w:name w:val="Encabezado Car23"/>
    <w:basedOn w:val="Fuentedeprrafopredeter"/>
    <w:uiPriority w:val="99"/>
    <w:rPr>
      <w:rFonts w:ascii="Calibri" w:hAnsi="Calibri" w:cs="Calibri"/>
      <w:sz w:val="22"/>
      <w:szCs w:val="22"/>
    </w:rPr>
  </w:style>
  <w:style w:type="character" w:customStyle="1" w:styleId="PiedepginaCar23">
    <w:name w:val="Pie de página Car23"/>
    <w:basedOn w:val="Fuentedeprrafopredeter"/>
    <w:uiPriority w:val="99"/>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495</Words>
  <Characters>2726</Characters>
  <Application>Microsoft Office Word</Application>
  <DocSecurity>0</DocSecurity>
  <Lines>22</Lines>
  <Paragraphs>6</Paragraphs>
  <ScaleCrop>false</ScaleCrop>
  <Company/>
  <LinksUpToDate>false</LinksUpToDate>
  <CharactersWithSpaces>3215</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Carmen Pilar Pérez Pulido</cp:lastModifiedBy>
  <cp:revision>2</cp:revision>
  <dcterms:created xsi:type="dcterms:W3CDTF">2024-09-23T07:12:00Z</dcterms:created>
  <dcterms:modified xsi:type="dcterms:W3CDTF">2024-09-23T07:21:00Z</dcterms:modified>
</cp:coreProperties>
</file>