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4984F" w14:textId="7A7CA704" w:rsidR="00637FB6" w:rsidRDefault="00D71EA9">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2024/53</w:t>
      </w:r>
    </w:p>
    <w:p w14:paraId="24549850" w14:textId="77777777" w:rsidR="00637FB6" w:rsidRDefault="00637FB6">
      <w:pPr>
        <w:spacing w:after="0" w:line="288" w:lineRule="auto"/>
        <w:jc w:val="both"/>
        <w:rPr>
          <w:rFonts w:ascii="AytoRoquetas Light Condensed" w:hAnsi="AytoRoquetas Light Condensed" w:cs="AytoRoquetas Light Condensed"/>
          <w:color w:val="000000"/>
        </w:rPr>
      </w:pPr>
    </w:p>
    <w:p w14:paraId="2C08A3CC" w14:textId="1B204B1A" w:rsidR="00D71EA9" w:rsidRDefault="00D71EA9" w:rsidP="00D71EA9">
      <w:pPr>
        <w:jc w:val="both"/>
        <w:rPr>
          <w:rFonts w:ascii="AytoRoquetas Light Condensed" w:hAnsi="AytoRoquetas Light Condensed"/>
          <w:b/>
          <w:bCs/>
        </w:rPr>
      </w:pPr>
      <w:r w:rsidRPr="004722E2">
        <w:rPr>
          <w:rFonts w:ascii="AytoRoquetas Light Condensed" w:hAnsi="AytoRoquetas Light Condensed"/>
          <w:b/>
          <w:bCs/>
        </w:rPr>
        <w:t>DON G</w:t>
      </w:r>
      <w:r>
        <w:rPr>
          <w:rFonts w:ascii="AytoRoquetas Light Condensed" w:hAnsi="AytoRoquetas Light Condensed"/>
          <w:b/>
          <w:bCs/>
        </w:rPr>
        <w:t>ABRIEL AMAT AYLLÓN</w:t>
      </w:r>
      <w:r w:rsidRPr="004722E2">
        <w:rPr>
          <w:rFonts w:ascii="AytoRoquetas Light Condensed" w:hAnsi="AytoRoquetas Light Condensed"/>
          <w:b/>
          <w:bCs/>
        </w:rPr>
        <w:t xml:space="preserve">, </w:t>
      </w:r>
      <w:r>
        <w:rPr>
          <w:rFonts w:ascii="AytoRoquetas Light Condensed" w:hAnsi="AytoRoquetas Light Condensed"/>
          <w:b/>
          <w:bCs/>
        </w:rPr>
        <w:t>PRESIDENTE</w:t>
      </w:r>
      <w:r w:rsidRPr="004722E2">
        <w:rPr>
          <w:rFonts w:ascii="AytoRoquetas Light Condensed" w:hAnsi="AytoRoquetas Light Condensed"/>
          <w:b/>
          <w:bCs/>
        </w:rPr>
        <w:t xml:space="preserve"> DEL CONSORCIO PARA LA GESTIÓN DEL CICLO INTEGRAL DEL AGUA DE USO URBANO EN EL PONIENTE ALMERIENSE</w:t>
      </w:r>
      <w:r>
        <w:rPr>
          <w:rFonts w:ascii="AytoRoquetas Light Condensed" w:hAnsi="AytoRoquetas Light Condensed"/>
          <w:b/>
          <w:bCs/>
        </w:rPr>
        <w:t>.</w:t>
      </w:r>
      <w:r>
        <w:rPr>
          <w:rFonts w:ascii="AytoRoquetas Light Condensed" w:hAnsi="AytoRoquetas Light Condensed"/>
          <w:b/>
          <w:bCs/>
        </w:rPr>
        <w:t xml:space="preserve"> </w:t>
      </w:r>
    </w:p>
    <w:p w14:paraId="24549852" w14:textId="77777777" w:rsidR="00637FB6" w:rsidRDefault="00D71E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24549856" w14:textId="77777777" w:rsidR="00637FB6" w:rsidRDefault="00637FB6">
      <w:pPr>
        <w:spacing w:after="0" w:line="288" w:lineRule="auto"/>
        <w:rPr>
          <w:rFonts w:ascii="AytoRoquetas Light Condensed" w:hAnsi="AytoRoquetas Light Condensed" w:cs="AytoRoquetas Light Condensed"/>
          <w:color w:val="000000"/>
        </w:rPr>
      </w:pPr>
    </w:p>
    <w:p w14:paraId="7A16D666" w14:textId="77777777" w:rsidR="00D71EA9" w:rsidRPr="00D50595" w:rsidRDefault="00D71EA9" w:rsidP="00D71EA9">
      <w:pPr>
        <w:jc w:val="both"/>
        <w:rPr>
          <w:rFonts w:ascii="AytoRoquetas Light Condensed" w:hAnsi="AytoRoquetas Light Condensed"/>
        </w:rPr>
      </w:pPr>
      <w:r w:rsidRPr="00891554">
        <w:rPr>
          <w:rFonts w:ascii="AytoRoquetas Light Condensed" w:hAnsi="AytoRoquetas Light Condensed"/>
          <w:b/>
          <w:bCs/>
        </w:rPr>
        <w:t>HACE SABER</w:t>
      </w:r>
      <w:r>
        <w:rPr>
          <w:rFonts w:ascii="AytoRoquetas Light Condensed" w:hAnsi="AytoRoquetas Light Condensed"/>
        </w:rPr>
        <w:t xml:space="preserve">: Que finalizado el período de exposición al público (B.O.P Número 164 de 26 de agosto de 2024) y no habiéndose presentado alegaciones, de conformidad con lo establecido en el artículo 49 de la Ley 7/1985, de 2 de abril, Reguladora de las Bases de Régimen Local, por Decreto de la Presidencia de fecha </w:t>
      </w:r>
      <w:r w:rsidRPr="00891554">
        <w:rPr>
          <w:rFonts w:ascii="AytoRoquetas Light Condensed" w:hAnsi="AytoRoquetas Light Condensed"/>
          <w:color w:val="FF0000"/>
        </w:rPr>
        <w:t xml:space="preserve">(ANOTAR AQUÍ LA FECHA EN LA QUE EL PRESIDENTE FIRMA), </w:t>
      </w:r>
      <w:r>
        <w:rPr>
          <w:rFonts w:ascii="AytoRoquetas Light Condensed" w:hAnsi="AytoRoquetas Light Condensed"/>
        </w:rPr>
        <w:t xml:space="preserve">inscrito en el Libro de Resoluciones con el número </w:t>
      </w:r>
      <w:r w:rsidRPr="00891554">
        <w:rPr>
          <w:rFonts w:ascii="AytoRoquetas Light Condensed" w:hAnsi="AytoRoquetas Light Condensed"/>
          <w:color w:val="FF0000"/>
        </w:rPr>
        <w:t xml:space="preserve">(ANOTARLO), </w:t>
      </w:r>
      <w:r>
        <w:rPr>
          <w:rFonts w:ascii="AytoRoquetas Light Condensed" w:hAnsi="AytoRoquetas Light Condensed"/>
        </w:rPr>
        <w:t xml:space="preserve">se ha elevado a definitiva la cuenta general del ejercicio 2023, aprobada inicialmente por la Junta General del Consorcio celebrada el 14 de agosto de 2024. </w:t>
      </w:r>
    </w:p>
    <w:p w14:paraId="592C0203" w14:textId="77777777" w:rsidR="00D71EA9" w:rsidRPr="00D70077" w:rsidRDefault="00D71EA9" w:rsidP="00D71EA9">
      <w:pPr>
        <w:jc w:val="both"/>
        <w:rPr>
          <w:rFonts w:ascii="AytoRoquetas Light Condensed" w:hAnsi="AytoRoquetas Light Condensed"/>
        </w:rPr>
      </w:pPr>
      <w:r>
        <w:rPr>
          <w:rFonts w:ascii="AytoRoquetas Light Condensed" w:hAnsi="AytoRoquetas Light Condensed"/>
        </w:rPr>
        <w:t xml:space="preserve"> </w:t>
      </w:r>
      <w:r w:rsidRPr="00D70077">
        <w:rPr>
          <w:rFonts w:ascii="AytoRoquetas Light Condensed" w:hAnsi="AytoRoquetas Light Condensed"/>
        </w:rPr>
        <w:t>La Junta General, en Sesión Ordinaria celebrada el 14 de agosto de 2024 adoptó:</w:t>
      </w:r>
    </w:p>
    <w:p w14:paraId="085609C8" w14:textId="77777777" w:rsidR="00D71EA9" w:rsidRPr="00D70077" w:rsidRDefault="00D71EA9" w:rsidP="00D71EA9">
      <w:pPr>
        <w:autoSpaceDE/>
        <w:autoSpaceDN/>
        <w:spacing w:after="160" w:line="259" w:lineRule="auto"/>
        <w:jc w:val="both"/>
        <w:rPr>
          <w:rFonts w:ascii="AytoRoquetas Light Condensed" w:hAnsi="AytoRoquetas Light Condensed"/>
          <w:iCs/>
        </w:rPr>
      </w:pPr>
    </w:p>
    <w:p w14:paraId="67C1E537"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“Sobre la Cuenta General del ejercicio 2023, se da cuenta del informe de la intervención del Consorcio, de fecha 5 de mayo de 2023:</w:t>
      </w:r>
    </w:p>
    <w:p w14:paraId="14836B97"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10C335F5"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Al día de la fecha no se encuentra constituido el Consejo de Participación Social por lo que habrá de ser la Junta General del Consorcio quien examine las cuentas, se expongan a información pública y posteriormente apruebe las mismas.</w:t>
      </w:r>
    </w:p>
    <w:p w14:paraId="2BF9B107" w14:textId="77777777" w:rsidR="00D71EA9" w:rsidRPr="00D70077" w:rsidRDefault="00D71EA9" w:rsidP="00D71EA9">
      <w:pPr>
        <w:autoSpaceDE/>
        <w:autoSpaceDN/>
        <w:spacing w:after="160" w:line="259" w:lineRule="auto"/>
        <w:jc w:val="both"/>
        <w:rPr>
          <w:rFonts w:ascii="AytoRoquetas Light Condensed" w:hAnsi="AytoRoquetas Light Condensed"/>
          <w:iCs/>
        </w:rPr>
      </w:pPr>
      <w:r w:rsidRPr="00D70077">
        <w:rPr>
          <w:rFonts w:ascii="AytoRoquetas Light Condensed" w:hAnsi="AytoRoquetas Light Condensed"/>
          <w:i/>
          <w:iCs/>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250915CA" w14:textId="77777777" w:rsidR="00D71EA9" w:rsidRPr="00D70077" w:rsidRDefault="00D71EA9" w:rsidP="00D71EA9">
      <w:pPr>
        <w:autoSpaceDE/>
        <w:autoSpaceDN/>
        <w:spacing w:after="160" w:line="259" w:lineRule="auto"/>
        <w:jc w:val="both"/>
        <w:rPr>
          <w:rFonts w:ascii="AytoRoquetas Light Condensed" w:hAnsi="AytoRoquetas Light Condensed"/>
          <w:iCs/>
        </w:rPr>
      </w:pPr>
    </w:p>
    <w:p w14:paraId="68959B5B"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INFORME</w:t>
      </w:r>
    </w:p>
    <w:p w14:paraId="4E75DC02"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1A860C6D"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PRIMERO. La Legislación aplicable es la siguiente:</w:t>
      </w:r>
    </w:p>
    <w:p w14:paraId="239760F4"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016F42B1"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Los artículos 22.2 e) y 116 de la Ley 7/1985, de 2 de abril, Reguladora de las Bases del Régimen Local.</w:t>
      </w:r>
    </w:p>
    <w:p w14:paraId="245E2FCF"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Ley 40/2015, de 1 de octubre, de Régimen Jurídico del Sector Público.</w:t>
      </w:r>
    </w:p>
    <w:p w14:paraId="4C5CD1D2"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Los artículos 208 a 212 del Texto Refundido de la Ley Reguladora de las Haciendas Locales aprobado por Real Decreto Legislativo 2/2004, de 5 de marzo.</w:t>
      </w:r>
    </w:p>
    <w:p w14:paraId="1FEA3E6B"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artículo 119.3 de la Ley 47/2003, de 26 de noviembre, General Presupuestaria.</w:t>
      </w:r>
    </w:p>
    <w:p w14:paraId="786957D9"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Las Reglas 44 y siguientes de la Orden HAP/1781/2013, de 20 de septiembre, por la que se aprueba la Instrucción del Modelo Normal de Contabilidad Local.</w:t>
      </w:r>
    </w:p>
    <w:p w14:paraId="7C5C1CE2"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Resolución de 28 de julio de 2006, de la Intervención General de la Administración del Estado, por la que se recomienda un formato normalizado de la cuenta general de las entidades locales en soporte informático que facilite su rendición.</w:t>
      </w:r>
    </w:p>
    <w:p w14:paraId="74CD1072"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La Orden EHA/3565/2008, de 3 de diciembre, por la que se Aprueba la Estructura de los Presupuestos de las Entidades Locales, modificada por la Orden HAP/419/2014, de 14 de marzo.</w:t>
      </w:r>
    </w:p>
    <w:p w14:paraId="79FCD97A"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74300518" w14:textId="77777777" w:rsidR="00D71EA9" w:rsidRPr="00D70077" w:rsidRDefault="00D71EA9" w:rsidP="00D71EA9">
      <w:pPr>
        <w:numPr>
          <w:ilvl w:val="0"/>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Convenio de 21 de abril de 2015, entre la Cámara de Cuentas de Andalucía y el Tribunal de Cuentas para la coordinación de la rendición telemática de las Cuentas Generales de las entidades locales andaluzas.</w:t>
      </w:r>
    </w:p>
    <w:p w14:paraId="71405996"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SEGUNDO.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4CB9B0AC"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0ABBA6F5"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TERCERO. De conformidad con el artículo 122 LRJSP, los consorcios estarán sujetos al régimen</w:t>
      </w:r>
      <w:r>
        <w:rPr>
          <w:rFonts w:ascii="AytoRoquetas Light Condensed" w:hAnsi="AytoRoquetas Light Condensed"/>
          <w:i/>
          <w:iCs/>
        </w:rPr>
        <w:t xml:space="preserve"> </w:t>
      </w:r>
      <w:r w:rsidRPr="00D70077">
        <w:rPr>
          <w:rFonts w:ascii="AytoRoquetas Light Condensed" w:hAnsi="AytoRoquetas Light Condensed"/>
          <w:i/>
          <w:iCs/>
        </w:rPr>
        <w:t>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w:t>
      </w:r>
    </w:p>
    <w:p w14:paraId="5C00AAC4"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20A41006"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SEXTO. Las cuentas anuales que integran la Cuenta de la propia entidad son las siguientes:</w:t>
      </w:r>
    </w:p>
    <w:p w14:paraId="51078275"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282498E6" w14:textId="77777777" w:rsidR="00D71EA9" w:rsidRPr="00D70077" w:rsidRDefault="00D71EA9" w:rsidP="00D71EA9">
      <w:pPr>
        <w:numPr>
          <w:ilvl w:val="0"/>
          <w:numId w:val="2"/>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Balance.</w:t>
      </w:r>
    </w:p>
    <w:p w14:paraId="1F0A7398" w14:textId="77777777" w:rsidR="00D71EA9" w:rsidRPr="00D70077" w:rsidRDefault="00D71EA9" w:rsidP="00D71EA9">
      <w:pPr>
        <w:numPr>
          <w:ilvl w:val="0"/>
          <w:numId w:val="2"/>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La Cuenta del resultado económico-patrimonial.</w:t>
      </w:r>
    </w:p>
    <w:p w14:paraId="6F013EFF" w14:textId="77777777" w:rsidR="00D71EA9" w:rsidRPr="00D70077" w:rsidRDefault="00D71EA9" w:rsidP="00D71EA9">
      <w:pPr>
        <w:numPr>
          <w:ilvl w:val="0"/>
          <w:numId w:val="2"/>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Estado de cambios en el patrimonio neto.</w:t>
      </w:r>
    </w:p>
    <w:p w14:paraId="1DDA9FFE" w14:textId="77777777" w:rsidR="00D71EA9" w:rsidRPr="00D70077" w:rsidRDefault="00D71EA9" w:rsidP="00D71EA9">
      <w:pPr>
        <w:numPr>
          <w:ilvl w:val="0"/>
          <w:numId w:val="2"/>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Estado de flujos de efectivo.</w:t>
      </w:r>
    </w:p>
    <w:p w14:paraId="6738A7B7" w14:textId="77777777" w:rsidR="00D71EA9" w:rsidRPr="00D70077" w:rsidRDefault="00D71EA9" w:rsidP="00D71EA9">
      <w:pPr>
        <w:numPr>
          <w:ilvl w:val="0"/>
          <w:numId w:val="2"/>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Estado de Liquidación del Presupuesto.</w:t>
      </w:r>
    </w:p>
    <w:p w14:paraId="03870C86" w14:textId="77777777" w:rsidR="00D71EA9" w:rsidRPr="00D70077" w:rsidRDefault="00D71EA9" w:rsidP="00D71EA9">
      <w:pPr>
        <w:numPr>
          <w:ilvl w:val="0"/>
          <w:numId w:val="2"/>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La Memoria.</w:t>
      </w:r>
    </w:p>
    <w:p w14:paraId="6EF81983"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3EF7B691"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A las cuentas anuales del Consorcio deberá unirse la siguiente documentación:</w:t>
      </w:r>
    </w:p>
    <w:p w14:paraId="4023BBCE"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35E8B397" w14:textId="77777777" w:rsidR="00D71EA9" w:rsidRPr="00D70077" w:rsidRDefault="00D71EA9" w:rsidP="00D71EA9">
      <w:pPr>
        <w:numPr>
          <w:ilvl w:val="1"/>
          <w:numId w:val="3"/>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Actas de arqueo de las existencias en Caja referidas a fin de ejercicio.</w:t>
      </w:r>
    </w:p>
    <w:p w14:paraId="3B3E74F5"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6619B152"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El Acta de arqueo sólo ha de incluir las existencias en Caja a fin de ejercicio, y su comprobación con los datos que arroja la contabilidad. No forman parte del Acta de Arqueo las existencias en cuentas abiertas en entidades de crédito.</w:t>
      </w:r>
    </w:p>
    <w:p w14:paraId="02B47A39"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60C1919B"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SÉPTIMO. La aprobación de la Cuenta General es un acto esencial para la fiscalización por parte</w:t>
      </w:r>
      <w:r>
        <w:rPr>
          <w:rFonts w:ascii="AytoRoquetas Light Condensed" w:hAnsi="AytoRoquetas Light Condensed"/>
          <w:i/>
          <w:iCs/>
        </w:rPr>
        <w:t xml:space="preserve"> </w:t>
      </w:r>
      <w:r w:rsidRPr="00D70077">
        <w:rPr>
          <w:rFonts w:ascii="AytoRoquetas Light Condensed" w:hAnsi="AytoRoquetas Light Condensed"/>
          <w:i/>
          <w:iCs/>
        </w:rPr>
        <w:t>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7CFBCA4A"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OCTAVO.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628C67B3"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 Se deberá remitir una vez aprobada definitivamente la Cuenta General del Consorcio al Ayuntamiento de Roquetas de Mar, para completar y remitir a la Cámara de Cuentas.</w:t>
      </w:r>
    </w:p>
    <w:p w14:paraId="3F7330BE"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DÉCIMO. Una vez formada y analizada la Cuenta General del ejercicio 2022, se procede al análisis y evaluación de las conclusiones y recomendaciones, de forma que se lleve a cabo una planificación del trabajo a realizar para implementar dichas recomendaciones.</w:t>
      </w:r>
    </w:p>
    <w:p w14:paraId="4121C662" w14:textId="77777777" w:rsidR="00D71EA9" w:rsidRPr="00D70077" w:rsidRDefault="00D71EA9" w:rsidP="00D71EA9">
      <w:pPr>
        <w:numPr>
          <w:ilvl w:val="0"/>
          <w:numId w:val="1"/>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Consorcio deberán remitir al Ayuntamiento de Roquetas de Mar una vez aprobada la Cuenta General para su incorporación y remisión a la Cámara de Cuentas-</w:t>
      </w:r>
    </w:p>
    <w:p w14:paraId="47C483E1" w14:textId="77777777" w:rsidR="00D71EA9" w:rsidRPr="00D70077" w:rsidRDefault="00D71EA9" w:rsidP="00D71EA9">
      <w:pPr>
        <w:numPr>
          <w:ilvl w:val="0"/>
          <w:numId w:val="1"/>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59042641" w14:textId="77777777" w:rsidR="00D71EA9" w:rsidRPr="00D70077" w:rsidRDefault="00D71EA9" w:rsidP="00D71EA9">
      <w:pPr>
        <w:numPr>
          <w:ilvl w:val="0"/>
          <w:numId w:val="1"/>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Consorcio no dispone de un inventario de bienes, lo cual impide un adecuado registro contable del área de inmovilizado, al no poderse identificar, ni valorar los bienes y derechos que posee el Consorcio.</w:t>
      </w:r>
    </w:p>
    <w:p w14:paraId="0F3C6B73" w14:textId="77777777" w:rsidR="00D71EA9" w:rsidRPr="00D70077" w:rsidRDefault="00D71EA9" w:rsidP="00D71EA9">
      <w:pPr>
        <w:numPr>
          <w:ilvl w:val="0"/>
          <w:numId w:val="1"/>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w:t>
      </w:r>
    </w:p>
    <w:p w14:paraId="1BF2DA78" w14:textId="77777777" w:rsidR="00D71EA9" w:rsidRPr="00D70077" w:rsidRDefault="00D71EA9" w:rsidP="00D71EA9">
      <w:pPr>
        <w:numPr>
          <w:ilvl w:val="0"/>
          <w:numId w:val="1"/>
        </w:numPr>
        <w:autoSpaceDE/>
        <w:autoSpaceDN/>
        <w:adjustRightInd/>
        <w:spacing w:after="160" w:line="259" w:lineRule="auto"/>
        <w:jc w:val="both"/>
        <w:rPr>
          <w:rFonts w:ascii="AytoRoquetas Light Condensed" w:hAnsi="AytoRoquetas Light Condensed"/>
          <w:i/>
          <w:iCs/>
        </w:rPr>
      </w:pPr>
      <w:r w:rsidRPr="00D70077">
        <w:rPr>
          <w:rFonts w:ascii="AytoRoquetas Light Condensed" w:hAnsi="AytoRoquetas Light Condensed"/>
          <w:i/>
        </w:rPr>
        <w:t>Durante el ejercicio 2023, el Consorcio no ha dispuesto de más recursos humanos que los necesarios para prestar los servicios de Tesorería, Intervención y Secretaría, no disponiendo</w:t>
      </w:r>
      <w:r>
        <w:rPr>
          <w:rFonts w:ascii="AytoRoquetas Light Condensed" w:hAnsi="AytoRoquetas Light Condensed"/>
          <w:i/>
        </w:rPr>
        <w:t xml:space="preserve"> </w:t>
      </w:r>
      <w:r w:rsidRPr="00D70077">
        <w:rPr>
          <w:rFonts w:ascii="AytoRoquetas Light Condensed" w:hAnsi="AytoRoquetas Light Condensed"/>
          <w:i/>
          <w:iCs/>
        </w:rPr>
        <w:t>de otro personal que directa o indirectamente gestione el servicio púbico y efectúe el seguimiento y control de las concesionarias,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4EB3F034"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6812E716"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Asimismo, es necesario concluir:</w:t>
      </w:r>
    </w:p>
    <w:p w14:paraId="38381BEC"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5B93F9E9" w14:textId="77777777" w:rsidR="00D71EA9" w:rsidRPr="00D70077" w:rsidRDefault="00D71EA9" w:rsidP="00D71EA9">
      <w:pPr>
        <w:numPr>
          <w:ilvl w:val="1"/>
          <w:numId w:val="1"/>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Que se remiten todos los Estados Contables y la documentación complementaria exigidas por la normativa vigente.</w:t>
      </w:r>
    </w:p>
    <w:p w14:paraId="56E73CEE" w14:textId="77777777" w:rsidR="00D71EA9" w:rsidRPr="00D70077" w:rsidRDefault="00D71EA9" w:rsidP="00D71EA9">
      <w:pPr>
        <w:numPr>
          <w:ilvl w:val="1"/>
          <w:numId w:val="1"/>
        </w:numPr>
        <w:autoSpaceDE/>
        <w:autoSpaceDN/>
        <w:adjustRightInd/>
        <w:spacing w:after="160" w:line="259" w:lineRule="auto"/>
        <w:jc w:val="both"/>
        <w:rPr>
          <w:rFonts w:ascii="AytoRoquetas Light Condensed" w:hAnsi="AytoRoquetas Light Condensed"/>
          <w:i/>
        </w:rPr>
      </w:pPr>
      <w:r w:rsidRPr="00D70077">
        <w:rPr>
          <w:rFonts w:ascii="AytoRoquetas Light Condensed" w:hAnsi="AytoRoquetas Light Condensed"/>
          <w:i/>
        </w:rPr>
        <w:t>Que los expedientes, documentos y libros mencionados en el Título II de la Instrucción de Contabilidad se encuentran a disposición del Tribunal de Cuentas.</w:t>
      </w:r>
    </w:p>
    <w:p w14:paraId="001955C6"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 xml:space="preserve">En virtud de todo lo expuesto en este Informe, </w:t>
      </w:r>
      <w:r w:rsidRPr="00D70077">
        <w:rPr>
          <w:rFonts w:ascii="AytoRoquetas Light Condensed" w:hAnsi="AytoRoquetas Light Condensed"/>
          <w:i/>
          <w:iCs/>
          <w:u w:val="single"/>
        </w:rPr>
        <w:t>procede tramitar la Cuenta General del</w:t>
      </w:r>
      <w:r w:rsidRPr="00D70077">
        <w:rPr>
          <w:rFonts w:ascii="AytoRoquetas Light Condensed" w:hAnsi="AytoRoquetas Light Condensed"/>
          <w:i/>
          <w:iCs/>
        </w:rPr>
        <w:t xml:space="preserve"> </w:t>
      </w:r>
      <w:r w:rsidRPr="00D70077">
        <w:rPr>
          <w:rFonts w:ascii="AytoRoquetas Light Condensed" w:hAnsi="AytoRoquetas Light Condensed"/>
          <w:i/>
          <w:iCs/>
          <w:u w:val="single"/>
        </w:rPr>
        <w:t>Consorcio correspondientes al ejercicio 2023</w:t>
      </w:r>
      <w:r w:rsidRPr="00D70077">
        <w:rPr>
          <w:rFonts w:ascii="AytoRoquetas Light Condensed" w:hAnsi="AytoRoquetas Light Condensed"/>
          <w:i/>
          <w:iCs/>
        </w:rPr>
        <w:t>.</w:t>
      </w:r>
    </w:p>
    <w:p w14:paraId="66FC4234" w14:textId="77777777" w:rsidR="00D71EA9" w:rsidRPr="00D70077" w:rsidRDefault="00D71EA9" w:rsidP="00D71EA9">
      <w:pPr>
        <w:autoSpaceDE/>
        <w:autoSpaceDN/>
        <w:spacing w:after="160" w:line="259" w:lineRule="auto"/>
        <w:jc w:val="both"/>
        <w:rPr>
          <w:rFonts w:ascii="AytoRoquetas Light Condensed" w:hAnsi="AytoRoquetas Light Condensed"/>
          <w:iCs/>
        </w:rPr>
      </w:pPr>
      <w:r w:rsidRPr="00D70077">
        <w:rPr>
          <w:rFonts w:ascii="AytoRoquetas Light Condensed" w:hAnsi="AytoRoquetas Light Condensed"/>
          <w:i/>
          <w:iCs/>
        </w:rPr>
        <w:t>Es cuanto tengo el honor de informar, sin perjuicio de cualquier otra consideración mejor fundada en derecho.”</w:t>
      </w:r>
    </w:p>
    <w:p w14:paraId="7684A459"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Vista la Cuenta del ejercicio 2023 formada por Intervención del Consorcio y sus documentos anexos, así como el informe emitido por la misma.</w:t>
      </w:r>
    </w:p>
    <w:p w14:paraId="59A1E18B" w14:textId="77777777"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De acuerdo con el contenido de los artículos 200 y siguientes del Texto Refundido de la Ley Reguladora de las Haciendas Locales aprobado por Real Decreto Legislativo 2/2004, la JUNTA GENERAL ha resuelto:</w:t>
      </w:r>
    </w:p>
    <w:p w14:paraId="32566B09"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3855146F" w14:textId="27A09DCB" w:rsidR="00D71EA9" w:rsidRPr="00D70077" w:rsidRDefault="00D71EA9" w:rsidP="00D71EA9">
      <w:pPr>
        <w:autoSpaceDE/>
        <w:autoSpaceDN/>
        <w:spacing w:after="160" w:line="259" w:lineRule="auto"/>
        <w:jc w:val="both"/>
        <w:rPr>
          <w:rFonts w:ascii="AytoRoquetas Light Condensed" w:hAnsi="AytoRoquetas Light Condensed"/>
          <w:i/>
          <w:iCs/>
        </w:rPr>
      </w:pPr>
      <w:r w:rsidRPr="00D70077">
        <w:rPr>
          <w:rFonts w:ascii="AytoRoquetas Light Condensed" w:hAnsi="AytoRoquetas Light Condensed"/>
          <w:i/>
          <w:iCs/>
        </w:rPr>
        <w:t>Primero. -</w:t>
      </w:r>
      <w:r w:rsidRPr="00D70077">
        <w:rPr>
          <w:rFonts w:ascii="AytoRoquetas Light Condensed" w:hAnsi="AytoRoquetas Light Condensed"/>
          <w:i/>
          <w:iCs/>
        </w:rPr>
        <w:t xml:space="preserve"> APROBAR INICIALMENTE la Cuenta General 2023.</w:t>
      </w:r>
    </w:p>
    <w:p w14:paraId="32FDA9D6"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48694378" w14:textId="77777777" w:rsidR="00D71EA9" w:rsidRPr="00D70077" w:rsidRDefault="00D71EA9" w:rsidP="00D71EA9">
      <w:pPr>
        <w:autoSpaceDE/>
        <w:autoSpaceDN/>
        <w:spacing w:after="160" w:line="259" w:lineRule="auto"/>
        <w:jc w:val="both"/>
        <w:rPr>
          <w:rFonts w:ascii="AytoRoquetas Light Condensed" w:hAnsi="AytoRoquetas Light Condensed"/>
          <w:i/>
          <w:iCs/>
        </w:rPr>
      </w:pPr>
      <w:proofErr w:type="gramStart"/>
      <w:r w:rsidRPr="00D70077">
        <w:rPr>
          <w:rFonts w:ascii="AytoRoquetas Light Condensed" w:hAnsi="AytoRoquetas Light Condensed"/>
          <w:i/>
          <w:iCs/>
        </w:rPr>
        <w:t>Segundo.-</w:t>
      </w:r>
      <w:proofErr w:type="gramEnd"/>
      <w:r w:rsidRPr="00D70077">
        <w:rPr>
          <w:rFonts w:ascii="AytoRoquetas Light Condensed" w:hAnsi="AytoRoquetas Light Condensed"/>
          <w:i/>
          <w:iCs/>
        </w:rPr>
        <w:t xml:space="preserve"> Proceder a su exposición al público por plazo de quince días hábiles, durante los cuales los interesados podrán presentar reclamaciones, u observaciones, conforme a lo establecido en el artículo 212 del mismo texto legal.”</w:t>
      </w:r>
    </w:p>
    <w:p w14:paraId="094E2C70" w14:textId="77777777" w:rsidR="00D71EA9" w:rsidRPr="00D70077" w:rsidRDefault="00D71EA9" w:rsidP="00D71EA9">
      <w:pPr>
        <w:autoSpaceDE/>
        <w:autoSpaceDN/>
        <w:spacing w:after="160" w:line="259" w:lineRule="auto"/>
        <w:jc w:val="both"/>
        <w:rPr>
          <w:rFonts w:ascii="AytoRoquetas Light Condensed" w:hAnsi="AytoRoquetas Light Condensed"/>
          <w:i/>
          <w:iCs/>
        </w:rPr>
      </w:pPr>
    </w:p>
    <w:p w14:paraId="170B7000" w14:textId="77777777" w:rsidR="00D71EA9" w:rsidRDefault="00D71EA9" w:rsidP="00D71EA9">
      <w:pPr>
        <w:jc w:val="center"/>
        <w:rPr>
          <w:rFonts w:ascii="AytoRoquetas Light Condensed" w:hAnsi="AytoRoquetas Light Condensed"/>
        </w:rPr>
      </w:pPr>
      <w:r w:rsidRPr="00D70077">
        <w:rPr>
          <w:rFonts w:ascii="AytoRoquetas Light Condensed" w:hAnsi="AytoRoquetas Light Condensed"/>
        </w:rPr>
        <w:t>EL PRESIDENTE, Don Gabriel Amat Ayllón.</w:t>
      </w:r>
    </w:p>
    <w:p w14:paraId="6AE7D1C4" w14:textId="40EDE7A8" w:rsidR="00D71EA9" w:rsidRDefault="00D71EA9" w:rsidP="00D71EA9">
      <w:pPr>
        <w:jc w:val="both"/>
        <w:rPr>
          <w:rFonts w:ascii="AytoRoquetas Light Condensed" w:hAnsi="AytoRoquetas Light Condensed"/>
        </w:rPr>
      </w:pPr>
      <w:r>
        <w:rPr>
          <w:rFonts w:ascii="AytoRoquetas Light Condensed" w:hAnsi="AytoRoquetas Light Condensed"/>
          <w:color w:val="FF0000"/>
        </w:rPr>
        <w:t xml:space="preserve"> </w:t>
      </w:r>
    </w:p>
    <w:p w14:paraId="5A673E51" w14:textId="77777777" w:rsidR="00D71EA9" w:rsidRDefault="00D71EA9" w:rsidP="00D71EA9">
      <w:pPr>
        <w:jc w:val="both"/>
        <w:rPr>
          <w:rFonts w:ascii="AytoRoquetas Light Condensed" w:hAnsi="AytoRoquetas Light Condensed"/>
        </w:rPr>
      </w:pPr>
      <w:r>
        <w:rPr>
          <w:rFonts w:ascii="AytoRoquetas Light Condensed" w:hAnsi="AytoRoquetas Light Condensed"/>
        </w:rPr>
        <w:t xml:space="preserve">Lo que se hace público para su general conocimiento. </w:t>
      </w:r>
    </w:p>
    <w:p w14:paraId="4FFC4298" w14:textId="77777777" w:rsidR="00D71EA9" w:rsidRDefault="00D71EA9">
      <w:pPr>
        <w:spacing w:after="0" w:line="288" w:lineRule="auto"/>
        <w:rPr>
          <w:rFonts w:ascii="AytoRoquetas Light Condensed" w:hAnsi="AytoRoquetas Light Condensed" w:cs="AytoRoquetas Light Condensed"/>
          <w:color w:val="000000"/>
        </w:rPr>
      </w:pPr>
    </w:p>
    <w:p w14:paraId="09A1D543" w14:textId="77777777" w:rsidR="00D71EA9" w:rsidRDefault="00D71EA9">
      <w:pPr>
        <w:spacing w:after="0" w:line="288" w:lineRule="auto"/>
        <w:rPr>
          <w:rFonts w:ascii="AytoRoquetas Light Condensed" w:hAnsi="AytoRoquetas Light Condensed" w:cs="AytoRoquetas Light Condensed"/>
          <w:color w:val="000000"/>
        </w:rPr>
      </w:pPr>
    </w:p>
    <w:p w14:paraId="479A4BED" w14:textId="77777777" w:rsidR="00D71EA9" w:rsidRDefault="00D71EA9">
      <w:pPr>
        <w:spacing w:after="0" w:line="288" w:lineRule="auto"/>
        <w:rPr>
          <w:rFonts w:ascii="AytoRoquetas Light Condensed" w:hAnsi="AytoRoquetas Light Condensed" w:cs="AytoRoquetas Light Condensed"/>
          <w:color w:val="000000"/>
        </w:rPr>
      </w:pPr>
    </w:p>
    <w:p w14:paraId="24549857" w14:textId="77777777" w:rsidR="00637FB6" w:rsidRDefault="00D71E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24549858" w14:textId="77777777" w:rsidR="00637FB6" w:rsidRDefault="00D71EA9">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24549859" w14:textId="77777777" w:rsidR="00637FB6" w:rsidRDefault="00637FB6">
      <w:pPr>
        <w:spacing w:after="0" w:line="288" w:lineRule="auto"/>
        <w:ind w:firstLine="567"/>
        <w:jc w:val="both"/>
        <w:rPr>
          <w:rFonts w:ascii="AytoRoquetas Light Condensed" w:hAnsi="AytoRoquetas Light Condensed" w:cs="AytoRoquetas Light Condensed"/>
          <w:color w:val="000000"/>
        </w:rPr>
      </w:pPr>
    </w:p>
    <w:sectPr w:rsidR="00637FB6">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49862" w14:textId="77777777" w:rsidR="00D71EA9" w:rsidRDefault="00D71EA9">
      <w:pPr>
        <w:spacing w:after="0" w:line="240" w:lineRule="auto"/>
      </w:pPr>
      <w:r>
        <w:separator/>
      </w:r>
    </w:p>
  </w:endnote>
  <w:endnote w:type="continuationSeparator" w:id="0">
    <w:p w14:paraId="24549864" w14:textId="77777777" w:rsidR="00D71EA9" w:rsidRDefault="00D7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4985D" w14:textId="77777777" w:rsidR="00637FB6" w:rsidRDefault="00637FB6">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4985E" w14:textId="77777777" w:rsidR="00D71EA9" w:rsidRDefault="00D71EA9">
      <w:pPr>
        <w:spacing w:after="0" w:line="240" w:lineRule="auto"/>
      </w:pPr>
      <w:r>
        <w:separator/>
      </w:r>
    </w:p>
  </w:footnote>
  <w:footnote w:type="continuationSeparator" w:id="0">
    <w:p w14:paraId="24549860" w14:textId="77777777" w:rsidR="00D71EA9" w:rsidRDefault="00D71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4985A" w14:textId="77777777" w:rsidR="00637FB6" w:rsidRDefault="00D71EA9">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2454985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24549860" w14:textId="77777777" w:rsidR="00637FB6" w:rsidRDefault="00D71EA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24549861" w14:textId="77777777" w:rsidR="00637FB6" w:rsidRDefault="00D71EA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24549862" w14:textId="77777777" w:rsidR="00637FB6" w:rsidRDefault="00D71EA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24549863" w14:textId="77777777" w:rsidR="00637FB6" w:rsidRDefault="00D71EA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2454985B" w14:textId="77777777" w:rsidR="00637FB6" w:rsidRDefault="00D71EA9">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24549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2454985C" w14:textId="77777777" w:rsidR="00637FB6" w:rsidRDefault="00637FB6">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00189"/>
    <w:multiLevelType w:val="hybridMultilevel"/>
    <w:tmpl w:val="4AD08D86"/>
    <w:lvl w:ilvl="0" w:tplc="B4D04070">
      <w:numFmt w:val="bullet"/>
      <w:lvlText w:val=""/>
      <w:lvlJc w:val="left"/>
      <w:pPr>
        <w:ind w:left="528" w:hanging="286"/>
      </w:pPr>
      <w:rPr>
        <w:rFonts w:ascii="Symbol" w:eastAsia="Symbol" w:hAnsi="Symbol" w:cs="Symbol" w:hint="default"/>
        <w:w w:val="100"/>
        <w:sz w:val="22"/>
        <w:szCs w:val="22"/>
        <w:lang w:val="es-ES" w:eastAsia="en-US" w:bidi="ar-SA"/>
      </w:rPr>
    </w:lvl>
    <w:lvl w:ilvl="1" w:tplc="8708B4EE">
      <w:numFmt w:val="bullet"/>
      <w:lvlText w:val=""/>
      <w:lvlJc w:val="left"/>
      <w:pPr>
        <w:ind w:left="1181" w:hanging="360"/>
      </w:pPr>
      <w:rPr>
        <w:rFonts w:ascii="Symbol" w:eastAsia="Symbol" w:hAnsi="Symbol" w:cs="Symbol" w:hint="default"/>
        <w:w w:val="100"/>
        <w:sz w:val="22"/>
        <w:szCs w:val="22"/>
        <w:lang w:val="es-ES" w:eastAsia="en-US" w:bidi="ar-SA"/>
      </w:rPr>
    </w:lvl>
    <w:lvl w:ilvl="2" w:tplc="8796F1FA">
      <w:numFmt w:val="bullet"/>
      <w:lvlText w:val="•"/>
      <w:lvlJc w:val="left"/>
      <w:pPr>
        <w:ind w:left="2080" w:hanging="360"/>
      </w:pPr>
      <w:rPr>
        <w:rFonts w:hint="default"/>
        <w:lang w:val="es-ES" w:eastAsia="en-US" w:bidi="ar-SA"/>
      </w:rPr>
    </w:lvl>
    <w:lvl w:ilvl="3" w:tplc="C5F84C06">
      <w:numFmt w:val="bullet"/>
      <w:lvlText w:val="•"/>
      <w:lvlJc w:val="left"/>
      <w:pPr>
        <w:ind w:left="2981" w:hanging="360"/>
      </w:pPr>
      <w:rPr>
        <w:rFonts w:hint="default"/>
        <w:lang w:val="es-ES" w:eastAsia="en-US" w:bidi="ar-SA"/>
      </w:rPr>
    </w:lvl>
    <w:lvl w:ilvl="4" w:tplc="FB9E931C">
      <w:numFmt w:val="bullet"/>
      <w:lvlText w:val="•"/>
      <w:lvlJc w:val="left"/>
      <w:pPr>
        <w:ind w:left="3881" w:hanging="360"/>
      </w:pPr>
      <w:rPr>
        <w:rFonts w:hint="default"/>
        <w:lang w:val="es-ES" w:eastAsia="en-US" w:bidi="ar-SA"/>
      </w:rPr>
    </w:lvl>
    <w:lvl w:ilvl="5" w:tplc="1B4ECDD2">
      <w:numFmt w:val="bullet"/>
      <w:lvlText w:val="•"/>
      <w:lvlJc w:val="left"/>
      <w:pPr>
        <w:ind w:left="4782" w:hanging="360"/>
      </w:pPr>
      <w:rPr>
        <w:rFonts w:hint="default"/>
        <w:lang w:val="es-ES" w:eastAsia="en-US" w:bidi="ar-SA"/>
      </w:rPr>
    </w:lvl>
    <w:lvl w:ilvl="6" w:tplc="6E925E16">
      <w:numFmt w:val="bullet"/>
      <w:lvlText w:val="•"/>
      <w:lvlJc w:val="left"/>
      <w:pPr>
        <w:ind w:left="5683" w:hanging="360"/>
      </w:pPr>
      <w:rPr>
        <w:rFonts w:hint="default"/>
        <w:lang w:val="es-ES" w:eastAsia="en-US" w:bidi="ar-SA"/>
      </w:rPr>
    </w:lvl>
    <w:lvl w:ilvl="7" w:tplc="07E2A2B2">
      <w:numFmt w:val="bullet"/>
      <w:lvlText w:val="•"/>
      <w:lvlJc w:val="left"/>
      <w:pPr>
        <w:ind w:left="6583" w:hanging="360"/>
      </w:pPr>
      <w:rPr>
        <w:rFonts w:hint="default"/>
        <w:lang w:val="es-ES" w:eastAsia="en-US" w:bidi="ar-SA"/>
      </w:rPr>
    </w:lvl>
    <w:lvl w:ilvl="8" w:tplc="FE665DEE">
      <w:numFmt w:val="bullet"/>
      <w:lvlText w:val="•"/>
      <w:lvlJc w:val="left"/>
      <w:pPr>
        <w:ind w:left="7484" w:hanging="360"/>
      </w:pPr>
      <w:rPr>
        <w:rFonts w:hint="default"/>
        <w:lang w:val="es-ES" w:eastAsia="en-US" w:bidi="ar-SA"/>
      </w:rPr>
    </w:lvl>
  </w:abstractNum>
  <w:abstractNum w:abstractNumId="1" w15:restartNumberingAfterBreak="0">
    <w:nsid w:val="1F843CA5"/>
    <w:multiLevelType w:val="hybridMultilevel"/>
    <w:tmpl w:val="890E58DC"/>
    <w:lvl w:ilvl="0" w:tplc="779E5A38">
      <w:start w:val="1"/>
      <w:numFmt w:val="lowerLetter"/>
      <w:lvlText w:val="%1)"/>
      <w:lvlJc w:val="left"/>
      <w:pPr>
        <w:ind w:left="1030" w:hanging="209"/>
        <w:jc w:val="left"/>
      </w:pPr>
      <w:rPr>
        <w:rFonts w:ascii="Trebuchet MS" w:eastAsia="Trebuchet MS" w:hAnsi="Trebuchet MS" w:cs="Trebuchet MS" w:hint="default"/>
        <w:i/>
        <w:iCs/>
        <w:w w:val="67"/>
        <w:sz w:val="23"/>
        <w:szCs w:val="23"/>
        <w:lang w:val="es-ES" w:eastAsia="en-US" w:bidi="ar-SA"/>
      </w:rPr>
    </w:lvl>
    <w:lvl w:ilvl="1" w:tplc="A0C671DA">
      <w:numFmt w:val="bullet"/>
      <w:lvlText w:val="•"/>
      <w:lvlJc w:val="left"/>
      <w:pPr>
        <w:ind w:left="1864" w:hanging="209"/>
      </w:pPr>
      <w:rPr>
        <w:rFonts w:hint="default"/>
        <w:lang w:val="es-ES" w:eastAsia="en-US" w:bidi="ar-SA"/>
      </w:rPr>
    </w:lvl>
    <w:lvl w:ilvl="2" w:tplc="1AB61030">
      <w:numFmt w:val="bullet"/>
      <w:lvlText w:val="•"/>
      <w:lvlJc w:val="left"/>
      <w:pPr>
        <w:ind w:left="2689" w:hanging="209"/>
      </w:pPr>
      <w:rPr>
        <w:rFonts w:hint="default"/>
        <w:lang w:val="es-ES" w:eastAsia="en-US" w:bidi="ar-SA"/>
      </w:rPr>
    </w:lvl>
    <w:lvl w:ilvl="3" w:tplc="46242862">
      <w:numFmt w:val="bullet"/>
      <w:lvlText w:val="•"/>
      <w:lvlJc w:val="left"/>
      <w:pPr>
        <w:ind w:left="3513" w:hanging="209"/>
      </w:pPr>
      <w:rPr>
        <w:rFonts w:hint="default"/>
        <w:lang w:val="es-ES" w:eastAsia="en-US" w:bidi="ar-SA"/>
      </w:rPr>
    </w:lvl>
    <w:lvl w:ilvl="4" w:tplc="8C7017DE">
      <w:numFmt w:val="bullet"/>
      <w:lvlText w:val="•"/>
      <w:lvlJc w:val="left"/>
      <w:pPr>
        <w:ind w:left="4338" w:hanging="209"/>
      </w:pPr>
      <w:rPr>
        <w:rFonts w:hint="default"/>
        <w:lang w:val="es-ES" w:eastAsia="en-US" w:bidi="ar-SA"/>
      </w:rPr>
    </w:lvl>
    <w:lvl w:ilvl="5" w:tplc="ECA06096">
      <w:numFmt w:val="bullet"/>
      <w:lvlText w:val="•"/>
      <w:lvlJc w:val="left"/>
      <w:pPr>
        <w:ind w:left="5162" w:hanging="209"/>
      </w:pPr>
      <w:rPr>
        <w:rFonts w:hint="default"/>
        <w:lang w:val="es-ES" w:eastAsia="en-US" w:bidi="ar-SA"/>
      </w:rPr>
    </w:lvl>
    <w:lvl w:ilvl="6" w:tplc="E94489EE">
      <w:numFmt w:val="bullet"/>
      <w:lvlText w:val="•"/>
      <w:lvlJc w:val="left"/>
      <w:pPr>
        <w:ind w:left="5987" w:hanging="209"/>
      </w:pPr>
      <w:rPr>
        <w:rFonts w:hint="default"/>
        <w:lang w:val="es-ES" w:eastAsia="en-US" w:bidi="ar-SA"/>
      </w:rPr>
    </w:lvl>
    <w:lvl w:ilvl="7" w:tplc="03D41D96">
      <w:numFmt w:val="bullet"/>
      <w:lvlText w:val="•"/>
      <w:lvlJc w:val="left"/>
      <w:pPr>
        <w:ind w:left="6811" w:hanging="209"/>
      </w:pPr>
      <w:rPr>
        <w:rFonts w:hint="default"/>
        <w:lang w:val="es-ES" w:eastAsia="en-US" w:bidi="ar-SA"/>
      </w:rPr>
    </w:lvl>
    <w:lvl w:ilvl="8" w:tplc="5F98B006">
      <w:numFmt w:val="bullet"/>
      <w:lvlText w:val="•"/>
      <w:lvlJc w:val="left"/>
      <w:pPr>
        <w:ind w:left="7636" w:hanging="209"/>
      </w:pPr>
      <w:rPr>
        <w:rFonts w:hint="default"/>
        <w:lang w:val="es-ES" w:eastAsia="en-US" w:bidi="ar-SA"/>
      </w:rPr>
    </w:lvl>
  </w:abstractNum>
  <w:abstractNum w:abstractNumId="2" w15:restartNumberingAfterBreak="0">
    <w:nsid w:val="6BFC0061"/>
    <w:multiLevelType w:val="hybridMultilevel"/>
    <w:tmpl w:val="7BDE60D6"/>
    <w:lvl w:ilvl="0" w:tplc="8500E392">
      <w:start w:val="1"/>
      <w:numFmt w:val="upperRoman"/>
      <w:lvlText w:val="%1."/>
      <w:lvlJc w:val="left"/>
      <w:pPr>
        <w:ind w:left="1181" w:hanging="720"/>
        <w:jc w:val="left"/>
      </w:pPr>
      <w:rPr>
        <w:rFonts w:ascii="Trebuchet MS" w:eastAsia="Trebuchet MS" w:hAnsi="Trebuchet MS" w:cs="Trebuchet MS" w:hint="default"/>
        <w:i/>
        <w:iCs/>
        <w:spacing w:val="-2"/>
        <w:w w:val="68"/>
        <w:sz w:val="23"/>
        <w:szCs w:val="23"/>
        <w:lang w:val="es-ES" w:eastAsia="en-US" w:bidi="ar-SA"/>
      </w:rPr>
    </w:lvl>
    <w:lvl w:ilvl="1" w:tplc="0254AC7A">
      <w:start w:val="1"/>
      <w:numFmt w:val="lowerLetter"/>
      <w:lvlText w:val="%2)"/>
      <w:lvlJc w:val="left"/>
      <w:pPr>
        <w:ind w:left="1169" w:hanging="360"/>
        <w:jc w:val="left"/>
      </w:pPr>
      <w:rPr>
        <w:rFonts w:ascii="Trebuchet MS" w:eastAsia="Trebuchet MS" w:hAnsi="Trebuchet MS" w:cs="Trebuchet MS" w:hint="default"/>
        <w:i/>
        <w:iCs/>
        <w:w w:val="67"/>
        <w:sz w:val="23"/>
        <w:szCs w:val="23"/>
        <w:lang w:val="es-ES" w:eastAsia="en-US" w:bidi="ar-SA"/>
      </w:rPr>
    </w:lvl>
    <w:lvl w:ilvl="2" w:tplc="5B02F300">
      <w:numFmt w:val="bullet"/>
      <w:lvlText w:val="•"/>
      <w:lvlJc w:val="left"/>
      <w:pPr>
        <w:ind w:left="2080" w:hanging="360"/>
      </w:pPr>
      <w:rPr>
        <w:rFonts w:hint="default"/>
        <w:lang w:val="es-ES" w:eastAsia="en-US" w:bidi="ar-SA"/>
      </w:rPr>
    </w:lvl>
    <w:lvl w:ilvl="3" w:tplc="F91C51C2">
      <w:numFmt w:val="bullet"/>
      <w:lvlText w:val="•"/>
      <w:lvlJc w:val="left"/>
      <w:pPr>
        <w:ind w:left="2981" w:hanging="360"/>
      </w:pPr>
      <w:rPr>
        <w:rFonts w:hint="default"/>
        <w:lang w:val="es-ES" w:eastAsia="en-US" w:bidi="ar-SA"/>
      </w:rPr>
    </w:lvl>
    <w:lvl w:ilvl="4" w:tplc="03C28706">
      <w:numFmt w:val="bullet"/>
      <w:lvlText w:val="•"/>
      <w:lvlJc w:val="left"/>
      <w:pPr>
        <w:ind w:left="3881" w:hanging="360"/>
      </w:pPr>
      <w:rPr>
        <w:rFonts w:hint="default"/>
        <w:lang w:val="es-ES" w:eastAsia="en-US" w:bidi="ar-SA"/>
      </w:rPr>
    </w:lvl>
    <w:lvl w:ilvl="5" w:tplc="95C64C0E">
      <w:numFmt w:val="bullet"/>
      <w:lvlText w:val="•"/>
      <w:lvlJc w:val="left"/>
      <w:pPr>
        <w:ind w:left="4782" w:hanging="360"/>
      </w:pPr>
      <w:rPr>
        <w:rFonts w:hint="default"/>
        <w:lang w:val="es-ES" w:eastAsia="en-US" w:bidi="ar-SA"/>
      </w:rPr>
    </w:lvl>
    <w:lvl w:ilvl="6" w:tplc="2930A024">
      <w:numFmt w:val="bullet"/>
      <w:lvlText w:val="•"/>
      <w:lvlJc w:val="left"/>
      <w:pPr>
        <w:ind w:left="5683" w:hanging="360"/>
      </w:pPr>
      <w:rPr>
        <w:rFonts w:hint="default"/>
        <w:lang w:val="es-ES" w:eastAsia="en-US" w:bidi="ar-SA"/>
      </w:rPr>
    </w:lvl>
    <w:lvl w:ilvl="7" w:tplc="36908BCE">
      <w:numFmt w:val="bullet"/>
      <w:lvlText w:val="•"/>
      <w:lvlJc w:val="left"/>
      <w:pPr>
        <w:ind w:left="6583" w:hanging="360"/>
      </w:pPr>
      <w:rPr>
        <w:rFonts w:hint="default"/>
        <w:lang w:val="es-ES" w:eastAsia="en-US" w:bidi="ar-SA"/>
      </w:rPr>
    </w:lvl>
    <w:lvl w:ilvl="8" w:tplc="F77AC87A">
      <w:numFmt w:val="bullet"/>
      <w:lvlText w:val="•"/>
      <w:lvlJc w:val="left"/>
      <w:pPr>
        <w:ind w:left="7484" w:hanging="360"/>
      </w:pPr>
      <w:rPr>
        <w:rFonts w:hint="default"/>
        <w:lang w:val="es-ES" w:eastAsia="en-US" w:bidi="ar-SA"/>
      </w:rPr>
    </w:lvl>
  </w:abstractNum>
  <w:num w:numId="1" w16cid:durableId="514461534">
    <w:abstractNumId w:val="2"/>
  </w:num>
  <w:num w:numId="2" w16cid:durableId="369257648">
    <w:abstractNumId w:val="1"/>
  </w:num>
  <w:num w:numId="3" w16cid:durableId="45792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37FB6"/>
    <w:rsid w:val="0032581A"/>
    <w:rsid w:val="00637FB6"/>
    <w:rsid w:val="00D71E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454984F"/>
  <w15:docId w15:val="{8511D67C-BEC4-489B-82B6-EF2337C2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paragraph" w:styleId="Ttulo1">
    <w:name w:val="heading 1"/>
    <w:basedOn w:val="Normal"/>
    <w:link w:val="Ttulo1Car"/>
    <w:uiPriority w:val="9"/>
    <w:qFormat/>
    <w:rsid w:val="00D71EA9"/>
    <w:pPr>
      <w:widowControl w:val="0"/>
      <w:adjustRightInd/>
      <w:spacing w:before="90" w:after="0" w:line="240" w:lineRule="auto"/>
      <w:ind w:right="580"/>
      <w:jc w:val="center"/>
      <w:outlineLvl w:val="0"/>
    </w:pPr>
    <w:rPr>
      <w:rFonts w:ascii="Times New Roman" w:eastAsia="Times New Roman" w:hAnsi="Times New Roman" w:cs="Times New Roman"/>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Ttulo1Car">
    <w:name w:val="Título 1 Car"/>
    <w:basedOn w:val="Fuentedeprrafopredeter"/>
    <w:link w:val="Ttulo1"/>
    <w:uiPriority w:val="9"/>
    <w:rsid w:val="00D71EA9"/>
    <w:rPr>
      <w:rFonts w:ascii="Times New Roman" w:eastAsia="Times New Roman" w:hAnsi="Times New Roman" w:cs="Times New Roman"/>
      <w:sz w:val="24"/>
      <w:szCs w:val="24"/>
      <w:lang w:val="es-ES"/>
    </w:rPr>
  </w:style>
  <w:style w:type="paragraph" w:styleId="Encabezado">
    <w:name w:val="header"/>
    <w:basedOn w:val="Normal"/>
    <w:link w:val="EncabezadoCar"/>
    <w:uiPriority w:val="99"/>
    <w:unhideWhenUsed/>
    <w:rsid w:val="00D71EA9"/>
    <w:pPr>
      <w:tabs>
        <w:tab w:val="center" w:pos="4252"/>
        <w:tab w:val="right" w:pos="8504"/>
      </w:tabs>
      <w:autoSpaceDE/>
      <w:autoSpaceDN/>
      <w:adjustRightInd/>
      <w:spacing w:after="0" w:line="240" w:lineRule="auto"/>
    </w:pPr>
    <w:rPr>
      <w:rFonts w:asciiTheme="minorHAnsi" w:hAnsiTheme="minorHAnsi" w:cstheme="minorBidi"/>
      <w:sz w:val="20"/>
      <w:szCs w:val="20"/>
    </w:rPr>
  </w:style>
  <w:style w:type="character" w:customStyle="1" w:styleId="EncabezadoCar24">
    <w:name w:val="Encabezado Car24"/>
    <w:basedOn w:val="Fuentedeprrafopredeter"/>
    <w:uiPriority w:val="99"/>
    <w:semiHidden/>
    <w:rsid w:val="00D71EA9"/>
    <w:rPr>
      <w:rFonts w:ascii="Calibri" w:hAnsi="Calibri" w:cs="Calibri"/>
      <w:sz w:val="22"/>
      <w:szCs w:val="22"/>
    </w:rPr>
  </w:style>
  <w:style w:type="paragraph" w:styleId="Piedepgina">
    <w:name w:val="footer"/>
    <w:basedOn w:val="Normal"/>
    <w:link w:val="PiedepginaCar"/>
    <w:uiPriority w:val="99"/>
    <w:unhideWhenUsed/>
    <w:rsid w:val="00D71EA9"/>
    <w:pPr>
      <w:tabs>
        <w:tab w:val="center" w:pos="4252"/>
        <w:tab w:val="right" w:pos="8504"/>
      </w:tabs>
      <w:autoSpaceDE/>
      <w:autoSpaceDN/>
      <w:adjustRightInd/>
      <w:spacing w:after="0" w:line="240" w:lineRule="auto"/>
    </w:pPr>
    <w:rPr>
      <w:rFonts w:asciiTheme="minorHAnsi" w:hAnsiTheme="minorHAnsi" w:cstheme="minorBidi"/>
      <w:sz w:val="20"/>
      <w:szCs w:val="20"/>
    </w:rPr>
  </w:style>
  <w:style w:type="character" w:customStyle="1" w:styleId="PiedepginaCar24">
    <w:name w:val="Pie de página Car24"/>
    <w:basedOn w:val="Fuentedeprrafopredeter"/>
    <w:uiPriority w:val="99"/>
    <w:semiHidden/>
    <w:rsid w:val="00D71EA9"/>
    <w:rPr>
      <w:rFonts w:ascii="Calibri" w:hAnsi="Calibri" w:cs="Calibri"/>
      <w:sz w:val="22"/>
      <w:szCs w:val="22"/>
    </w:rPr>
  </w:style>
  <w:style w:type="table" w:customStyle="1" w:styleId="TableNormal">
    <w:name w:val="Table Normal"/>
    <w:uiPriority w:val="2"/>
    <w:semiHidden/>
    <w:unhideWhenUsed/>
    <w:qFormat/>
    <w:rsid w:val="00D71EA9"/>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71EA9"/>
    <w:pPr>
      <w:widowControl w:val="0"/>
      <w:adjustRightInd/>
      <w:spacing w:after="0" w:line="240" w:lineRule="auto"/>
    </w:pPr>
    <w:rPr>
      <w:rFonts w:ascii="Trebuchet MS" w:eastAsia="Trebuchet MS" w:hAnsi="Trebuchet MS" w:cs="Trebuchet MS"/>
      <w:i/>
      <w:iCs/>
      <w:sz w:val="23"/>
      <w:szCs w:val="23"/>
      <w:lang w:val="es-ES"/>
    </w:rPr>
  </w:style>
  <w:style w:type="character" w:customStyle="1" w:styleId="TextoindependienteCar">
    <w:name w:val="Texto independiente Car"/>
    <w:basedOn w:val="Fuentedeprrafopredeter"/>
    <w:link w:val="Textoindependiente"/>
    <w:uiPriority w:val="1"/>
    <w:rsid w:val="00D71EA9"/>
    <w:rPr>
      <w:rFonts w:ascii="Trebuchet MS" w:eastAsia="Trebuchet MS" w:hAnsi="Trebuchet MS" w:cs="Trebuchet MS"/>
      <w:i/>
      <w:iCs/>
      <w:sz w:val="23"/>
      <w:szCs w:val="23"/>
      <w:lang w:val="es-ES"/>
    </w:rPr>
  </w:style>
  <w:style w:type="paragraph" w:styleId="Ttulo">
    <w:name w:val="Title"/>
    <w:basedOn w:val="Normal"/>
    <w:link w:val="TtuloCar"/>
    <w:uiPriority w:val="10"/>
    <w:qFormat/>
    <w:rsid w:val="00D71EA9"/>
    <w:pPr>
      <w:widowControl w:val="0"/>
      <w:adjustRightInd/>
      <w:spacing w:before="99" w:after="0" w:line="240" w:lineRule="auto"/>
      <w:ind w:left="3834" w:right="4435"/>
      <w:jc w:val="center"/>
    </w:pPr>
    <w:rPr>
      <w:rFonts w:ascii="Lucida Sans Unicode" w:eastAsia="Lucida Sans Unicode" w:hAnsi="Lucida Sans Unicode" w:cs="Lucida Sans Unicode"/>
      <w:sz w:val="26"/>
      <w:szCs w:val="26"/>
      <w:lang w:val="es-ES"/>
    </w:rPr>
  </w:style>
  <w:style w:type="character" w:customStyle="1" w:styleId="TtuloCar">
    <w:name w:val="Título Car"/>
    <w:basedOn w:val="Fuentedeprrafopredeter"/>
    <w:link w:val="Ttulo"/>
    <w:uiPriority w:val="10"/>
    <w:rsid w:val="00D71EA9"/>
    <w:rPr>
      <w:rFonts w:ascii="Lucida Sans Unicode" w:eastAsia="Lucida Sans Unicode" w:hAnsi="Lucida Sans Unicode" w:cs="Lucida Sans Unicode"/>
      <w:sz w:val="26"/>
      <w:szCs w:val="26"/>
      <w:lang w:val="es-ES"/>
    </w:rPr>
  </w:style>
  <w:style w:type="paragraph" w:styleId="Prrafodelista">
    <w:name w:val="List Paragraph"/>
    <w:basedOn w:val="Normal"/>
    <w:uiPriority w:val="1"/>
    <w:qFormat/>
    <w:rsid w:val="00D71EA9"/>
    <w:pPr>
      <w:widowControl w:val="0"/>
      <w:adjustRightInd/>
      <w:spacing w:after="0" w:line="240" w:lineRule="auto"/>
      <w:ind w:left="528" w:hanging="286"/>
      <w:jc w:val="both"/>
    </w:pPr>
    <w:rPr>
      <w:rFonts w:ascii="Trebuchet MS" w:eastAsia="Trebuchet MS" w:hAnsi="Trebuchet MS" w:cs="Trebuchet MS"/>
      <w:lang w:val="es-ES"/>
    </w:rPr>
  </w:style>
  <w:style w:type="paragraph" w:customStyle="1" w:styleId="TableParagraph">
    <w:name w:val="Table Paragraph"/>
    <w:basedOn w:val="Normal"/>
    <w:uiPriority w:val="1"/>
    <w:qFormat/>
    <w:rsid w:val="00D71EA9"/>
    <w:pPr>
      <w:widowControl w:val="0"/>
      <w:adjustRightInd/>
      <w:spacing w:after="0" w:line="240" w:lineRule="auto"/>
    </w:pPr>
    <w:rPr>
      <w:rFonts w:ascii="Trebuchet MS" w:eastAsia="Trebuchet MS" w:hAnsi="Trebuchet MS" w:cs="Trebuchet M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2219</Words>
  <Characters>12208</Characters>
  <Application>Microsoft Office Word</Application>
  <DocSecurity>0</DocSecurity>
  <Lines>101</Lines>
  <Paragraphs>28</Paragraphs>
  <ScaleCrop>false</ScaleCrop>
  <Company/>
  <LinksUpToDate>false</LinksUpToDate>
  <CharactersWithSpaces>14399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2024-09-30T07:55:00Z</dcterms:created>
  <dcterms:modified xsi:type="dcterms:W3CDTF">2024-09-30T07:58:00Z</dcterms:modified>
</cp:coreProperties>
</file>