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66A105" w14:textId="58BD3D6D" w:rsidR="00093506" w:rsidRDefault="002309AD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 xml:space="preserve">Expte. </w:t>
      </w:r>
      <w:r w:rsidR="006815B4">
        <w:rPr>
          <w:rFonts w:ascii="AytoRoquetas Light Condensed" w:hAnsi="AytoRoquetas Light Condensed" w:cs="AytoRoquetas Light Condensed"/>
          <w:sz w:val="22"/>
          <w:szCs w:val="22"/>
        </w:rPr>
        <w:t>202</w:t>
      </w:r>
      <w:r w:rsidR="005A496B">
        <w:rPr>
          <w:rFonts w:ascii="AytoRoquetas Light Condensed" w:hAnsi="AytoRoquetas Light Condensed" w:cs="AytoRoquetas Light Condensed"/>
          <w:sz w:val="22"/>
          <w:szCs w:val="22"/>
        </w:rPr>
        <w:t>4/</w:t>
      </w:r>
      <w:r w:rsidR="00101364">
        <w:rPr>
          <w:rFonts w:ascii="AytoRoquetas Light Condensed" w:hAnsi="AytoRoquetas Light Condensed" w:cs="AytoRoquetas Light Condensed"/>
          <w:sz w:val="22"/>
          <w:szCs w:val="22"/>
        </w:rPr>
        <w:t>93</w:t>
      </w:r>
    </w:p>
    <w:p w14:paraId="333C0F77" w14:textId="77777777" w:rsidR="00093506" w:rsidRDefault="002309AD">
      <w:pPr>
        <w:jc w:val="both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Dª GABRIEL AMAT AYLLÓN, PRESIDENTE DEL CONSORCIO DEL CICLO INTEGRAL DEL AGUA DE USO URBANO DEL PONIENTE ALMERIENSE, HA DICTADO LA SIGUIENTE RESOLUCIÓN DE APROBACIÓN DE RELACIONES DE ORDENACIÓN DE PAGOS:</w:t>
      </w:r>
    </w:p>
    <w:p w14:paraId="222A091F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p w14:paraId="41ACA947" w14:textId="77777777" w:rsidR="00093506" w:rsidRDefault="002309AD">
      <w:pPr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bookmarkStart w:id="0" w:name="BLO__BDT"/>
      <w:bookmarkEnd w:id="0"/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  I. ANTECEDENTES</w:t>
      </w:r>
    </w:p>
    <w:p w14:paraId="17E6D96B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0E2FA26F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PRIMERO.-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Ante la necesidad de realizar determinados pagos cuyas obligaciones están previamente reconocidas en la contabilidad, y vistas las relaciones de ordenación de pagos preparadas en la Tesorería del Consorcio.</w:t>
      </w:r>
    </w:p>
    <w:p w14:paraId="54773784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7C99AFD2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SEGUNDO.-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Comprobado así mismo, que los pagos que se pretenden ordenar respetan y se adecuan al artículo 14 de la LO 2/2012, de 27 de abril, de Estabilidad Presupuestaria y Sostenibilidad Financiera y al artículo 187 del Real Decreto Legislativo 2/2004, de 5 de marzo, por el que se aprueba el texto refundido de la Ley Reguladora de las Haciendas Locales.</w:t>
      </w:r>
    </w:p>
    <w:p w14:paraId="2EFB0892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6F84977D" w14:textId="77777777" w:rsidR="00093506" w:rsidRDefault="002309AD">
      <w:pPr>
        <w:ind w:firstLine="708"/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II LEGISLACIÓN APLICABLE</w:t>
      </w:r>
    </w:p>
    <w:p w14:paraId="4CB4771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4248AD4E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PRIMERO.-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 Acuerdo de Junta General de fecha 21 de abril de 2021 sobre nombramiento del Presidente del Consorcio de conformidad con lo establecido en el Art. 12.3 de los Estatutos.</w:t>
      </w:r>
    </w:p>
    <w:p w14:paraId="792D52EA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AD2C315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SEGUNDO.-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Lo dispuesto en el artículo 21.1 letra f) de la Ley 7/1985 RBRL de 2 abril, en su redacción dada por Ley 27/2013, de 27 de diciembre, de racionalización y sostenibilidad de la Administración Local. Y el artículo 186 del Real Decreto Legislativo 2/2004, de 5 de marzo, por el que se aprueba el texto refundido de la Ley Reguladora de las Haciendas Locales, en su relación con el artículo 11.1.g de los Estatutos del Consorcio.</w:t>
      </w:r>
    </w:p>
    <w:p w14:paraId="6292E201" w14:textId="77777777" w:rsidR="00093506" w:rsidRDefault="00093506">
      <w:pPr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7F5375A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</w:pPr>
      <w:r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Por todo ello, atendiendo al informe-propuesta realizado por la Tesorería y fiscalizada de conformidad por la Intervención, esta Presidencia, </w:t>
      </w:r>
      <w:r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  <w:t>RESUELVE</w:t>
      </w:r>
    </w:p>
    <w:p w14:paraId="55593C4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B696B2B" w14:textId="77777777" w:rsidR="00093506" w:rsidRDefault="002309AD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bookmarkStart w:id="1" w:name="BLO__BDT1"/>
      <w:bookmarkEnd w:id="1"/>
      <w:r>
        <w:rPr>
          <w:rFonts w:ascii="AytoRoquetas Light Condensed" w:hAnsi="AytoRoquetas Light Condensed" w:cs="AytoRoquetas Light Condensed"/>
          <w:sz w:val="22"/>
          <w:szCs w:val="22"/>
        </w:rPr>
        <w:t>PRIMERO- Aprobar las Relaciones de Ordenación de Pagos siguientes:</w:t>
      </w:r>
    </w:p>
    <w:p w14:paraId="76413D7D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tbl>
      <w:tblPr>
        <w:tblW w:w="7168" w:type="dxa"/>
        <w:tblInd w:w="1037" w:type="dxa"/>
        <w:tblLayout w:type="fixed"/>
        <w:tblLook w:val="0000" w:firstRow="0" w:lastRow="0" w:firstColumn="0" w:lastColumn="0" w:noHBand="0" w:noVBand="0"/>
      </w:tblPr>
      <w:tblGrid>
        <w:gridCol w:w="1747"/>
        <w:gridCol w:w="1665"/>
        <w:gridCol w:w="1878"/>
        <w:gridCol w:w="1878"/>
      </w:tblGrid>
      <w:tr w:rsidR="00093506" w14:paraId="5A894E7B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E1B1" w14:textId="77777777" w:rsidR="00093506" w:rsidRDefault="002309AD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Nº de relación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11C0" w14:textId="77777777" w:rsidR="00093506" w:rsidRDefault="002309AD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bruto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D368" w14:textId="77777777" w:rsidR="00093506" w:rsidRDefault="002309AD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neto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22C3" w14:textId="77777777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Ordinal pagador</w:t>
            </w:r>
          </w:p>
        </w:tc>
      </w:tr>
      <w:tr w:rsidR="00093506" w14:paraId="2DAE06CC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B500" w14:textId="1A515591" w:rsidR="00093506" w:rsidRDefault="002309AD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P/202</w:t>
            </w:r>
            <w:r w:rsidR="006815B4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4</w:t>
            </w: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/</w:t>
            </w:r>
            <w:r w:rsidR="00101364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10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A58E" w14:textId="37D15106" w:rsidR="00093506" w:rsidRDefault="00101364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2.262,70</w:t>
            </w:r>
            <w:r w:rsidR="00F06727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</w:t>
            </w:r>
            <w:r w:rsidR="000C577E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094A" w14:textId="5CD9BD44" w:rsidR="00093506" w:rsidRDefault="00101364" w:rsidP="00101364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2.262,70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010D" w14:textId="77777777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/>
                <w:sz w:val="22"/>
                <w:szCs w:val="22"/>
              </w:rPr>
              <w:t>201</w:t>
            </w:r>
          </w:p>
        </w:tc>
      </w:tr>
    </w:tbl>
    <w:p w14:paraId="08479E00" w14:textId="77777777" w:rsidR="00093506" w:rsidRDefault="002309AD">
      <w:pPr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ab/>
      </w:r>
    </w:p>
    <w:p w14:paraId="3E8509F7" w14:textId="77777777" w:rsidR="00093506" w:rsidRDefault="002309AD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SEGUNDO.-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Confirmar las operaciones contables de pagos, y preparar las relaciones de transferencias que sean necesarias para el pago material de las mismas.</w:t>
      </w:r>
      <w:r>
        <w:rPr>
          <w:rFonts w:ascii="AytoRoquetas Light Condensed" w:hAnsi="AytoRoquetas Light Condensed" w:cs="AytoRoquetas Light Condensed"/>
          <w:sz w:val="22"/>
          <w:szCs w:val="22"/>
        </w:rPr>
        <w:br/>
      </w:r>
    </w:p>
    <w:p w14:paraId="10DC29C4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i/>
          <w:iCs/>
          <w:sz w:val="22"/>
          <w:szCs w:val="22"/>
        </w:rPr>
      </w:pPr>
      <w:r>
        <w:rPr>
          <w:rFonts w:ascii="AytoRoquetas Light Condensed" w:hAnsi="AytoRoquetas Light Condensed" w:cs="AytoRoquetas Light Condensed"/>
          <w:i/>
          <w:iCs/>
          <w:sz w:val="22"/>
          <w:szCs w:val="22"/>
        </w:rPr>
        <w:t>La presente resolución ha sido firmada electrónicamente, de acuerdo con lo establecido en la Ley 40/2015, de 1 de octubre, de Régimen Jurídico del Sector Público, por la autoridad competente y transcrita en el Libro de Resoluciones por la secretaria del consorcio con el número y fecha al margen reseñado, como garantía de autenticidad e integridad.</w:t>
      </w:r>
    </w:p>
    <w:sectPr w:rsidR="00093506">
      <w:headerReference w:type="even" r:id="rId7"/>
      <w:headerReference w:type="default" r:id="rId8"/>
      <w:pgSz w:w="11906" w:h="16838"/>
      <w:pgMar w:top="1418" w:right="1701" w:bottom="851" w:left="1701" w:header="397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1F5C4C" w14:textId="77777777" w:rsidR="00BE5B9E" w:rsidRDefault="00BE5B9E">
      <w:r>
        <w:separator/>
      </w:r>
    </w:p>
  </w:endnote>
  <w:endnote w:type="continuationSeparator" w:id="0">
    <w:p w14:paraId="63175DF6" w14:textId="77777777" w:rsidR="00BE5B9E" w:rsidRDefault="00BE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Std 47 Light Cn">
    <w:altName w:val="Calibri"/>
    <w:charset w:val="01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Book Antiqua Bold">
    <w:altName w:val="Book Antiqua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459766" w14:textId="77777777" w:rsidR="00BE5B9E" w:rsidRDefault="00BE5B9E">
      <w:r>
        <w:separator/>
      </w:r>
    </w:p>
  </w:footnote>
  <w:footnote w:type="continuationSeparator" w:id="0">
    <w:p w14:paraId="7CC445BE" w14:textId="77777777" w:rsidR="00BE5B9E" w:rsidRDefault="00BE5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5493AD" w14:textId="77777777" w:rsidR="00093506" w:rsidRDefault="0009350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470F3" w14:textId="77777777" w:rsidR="00093506" w:rsidRDefault="00093506">
    <w:pPr>
      <w:pStyle w:val="Encabezado"/>
    </w:pPr>
  </w:p>
  <w:p w14:paraId="2BBE00EE" w14:textId="77777777" w:rsidR="00093506" w:rsidRDefault="00093506">
    <w:pPr>
      <w:pStyle w:val="Encabezado"/>
    </w:pPr>
  </w:p>
  <w:p w14:paraId="33367E9B" w14:textId="77777777" w:rsidR="00093506" w:rsidRDefault="002309AD">
    <w:pPr>
      <w:pStyle w:val="Encabezado"/>
    </w:pPr>
    <w:r>
      <w:rPr>
        <w:noProof/>
      </w:rPr>
      <w:drawing>
        <wp:inline distT="0" distB="0" distL="0" distR="0" wp14:anchorId="1A6929B2" wp14:editId="4F715C84">
          <wp:extent cx="1853565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372" t="36164" r="15128" b="25763"/>
                  <a:stretch>
                    <a:fillRect/>
                  </a:stretch>
                </pic:blipFill>
                <pic:spPr bwMode="auto">
                  <a:xfrm>
                    <a:off x="0" y="0"/>
                    <a:ext cx="1853565" cy="788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506"/>
    <w:rsid w:val="00000692"/>
    <w:rsid w:val="00093506"/>
    <w:rsid w:val="000C577E"/>
    <w:rsid w:val="00101364"/>
    <w:rsid w:val="00207F17"/>
    <w:rsid w:val="002309AD"/>
    <w:rsid w:val="0035706F"/>
    <w:rsid w:val="0040220E"/>
    <w:rsid w:val="004A5675"/>
    <w:rsid w:val="005A496B"/>
    <w:rsid w:val="005D3120"/>
    <w:rsid w:val="00632A0A"/>
    <w:rsid w:val="006815B4"/>
    <w:rsid w:val="007F3FC1"/>
    <w:rsid w:val="00880204"/>
    <w:rsid w:val="008D67E1"/>
    <w:rsid w:val="00991A27"/>
    <w:rsid w:val="00A3709F"/>
    <w:rsid w:val="00AD4325"/>
    <w:rsid w:val="00BE5B9E"/>
    <w:rsid w:val="00BF011F"/>
    <w:rsid w:val="00E44474"/>
    <w:rsid w:val="00EA5305"/>
    <w:rsid w:val="00F06727"/>
    <w:rsid w:val="00FA62CB"/>
    <w:rsid w:val="00FC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C7808"/>
  <w15:docId w15:val="{989325F1-32A5-4B0D-ADDE-AAAEA939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B5D"/>
    <w:rPr>
      <w:rFonts w:ascii="Arial" w:eastAsia="ヒラギノ角ゴ Pro W3" w:hAnsi="Arial" w:cs="Times New Roman"/>
      <w:color w:val="000000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sJGL-PlenoCar">
    <w:name w:val="Títulos JGL-Pleno Car"/>
    <w:basedOn w:val="Fuentedeprrafopredeter"/>
    <w:qFormat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527BF6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527BF6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527BF6"/>
    <w:rPr>
      <w:rFonts w:ascii="Segoe UI" w:hAnsi="Segoe UI" w:cs="Segoe UI"/>
      <w:sz w:val="18"/>
      <w:szCs w:val="18"/>
    </w:rPr>
  </w:style>
  <w:style w:type="character" w:customStyle="1" w:styleId="Ninguno">
    <w:name w:val="Ninguno"/>
    <w:qFormat/>
    <w:rsid w:val="00C75B5D"/>
  </w:style>
  <w:style w:type="character" w:customStyle="1" w:styleId="TextoindependienteCar">
    <w:name w:val="Texto independiente Car"/>
    <w:basedOn w:val="Fuentedeprrafopredeter"/>
    <w:link w:val="Textoindependiente"/>
    <w:qFormat/>
    <w:rsid w:val="00724CA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AytoRoquetas Light Condensed" w:eastAsia="Microsoft YaHei" w:hAnsi="AytoRoquetas Light Condensed" w:cs="Arial Unicode MS"/>
      <w:sz w:val="28"/>
      <w:szCs w:val="28"/>
    </w:rPr>
  </w:style>
  <w:style w:type="paragraph" w:styleId="Textoindependiente">
    <w:name w:val="Body Text"/>
    <w:basedOn w:val="Normal"/>
    <w:link w:val="TextoindependienteCar"/>
    <w:rsid w:val="00724CAE"/>
    <w:pPr>
      <w:suppressAutoHyphens w:val="0"/>
      <w:spacing w:after="120"/>
    </w:pPr>
    <w:rPr>
      <w:rFonts w:ascii="Times New Roman" w:eastAsia="Times New Roman" w:hAnsi="Times New Roman"/>
      <w:color w:val="auto"/>
      <w:lang w:val="es-ES" w:eastAsia="es-ES"/>
    </w:rPr>
  </w:style>
  <w:style w:type="paragraph" w:styleId="Lista">
    <w:name w:val="List"/>
    <w:basedOn w:val="Textoindependiente"/>
    <w:rPr>
      <w:rFonts w:ascii="AytoRoquetas Light Condensed" w:hAnsi="AytoRoquetas Light Condensed"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ascii="AytoRoquetas Light Condensed" w:hAnsi="AytoRoquetas Light Condensed" w:cs="Arial Unicode M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ascii="AytoRoquetas Light Condensed" w:hAnsi="AytoRoquetas Light Condensed" w:cs="Arial Unicode MS"/>
    </w:rPr>
  </w:style>
  <w:style w:type="paragraph" w:customStyle="1" w:styleId="TtulosJGL-Pleno">
    <w:name w:val="Títulos JGL-Pleno"/>
    <w:basedOn w:val="Normal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line="288" w:lineRule="auto"/>
      <w:ind w:firstLine="180"/>
      <w:jc w:val="both"/>
    </w:pPr>
    <w:rPr>
      <w:rFonts w:ascii="Frutiger LT Std 47 Light Cn" w:hAnsi="Frutiger LT Std 47 Light Cn"/>
      <w:b/>
      <w:sz w:val="26"/>
      <w:szCs w:val="20"/>
      <w:lang w:eastAsia="ca-E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527BF6"/>
    <w:rPr>
      <w:rFonts w:ascii="Segoe UI" w:hAnsi="Segoe UI" w:cs="Segoe UI"/>
      <w:sz w:val="18"/>
      <w:szCs w:val="18"/>
    </w:rPr>
  </w:style>
  <w:style w:type="paragraph" w:customStyle="1" w:styleId="FreeForm">
    <w:name w:val="Free Form"/>
    <w:qFormat/>
    <w:rsid w:val="00C75B5D"/>
    <w:rPr>
      <w:rFonts w:ascii="Times New Roman" w:eastAsia="ヒラギノ角ゴ Pro W3" w:hAnsi="Times New Roman" w:cs="Times New Roman"/>
      <w:color w:val="000000"/>
      <w:sz w:val="20"/>
      <w:szCs w:val="20"/>
      <w:lang w:eastAsia="es-ES"/>
    </w:rPr>
  </w:style>
  <w:style w:type="paragraph" w:customStyle="1" w:styleId="Cuerpo">
    <w:name w:val="Cuerpo"/>
    <w:qFormat/>
    <w:rsid w:val="00C75B5D"/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Predeterminado">
    <w:name w:val="Predeterminado"/>
    <w:qFormat/>
    <w:rsid w:val="00447E23"/>
    <w:rPr>
      <w:rFonts w:ascii="Book Antiqua Bold" w:eastAsia="ヒラギノ角ゴ Pro W3" w:hAnsi="Book Antiqua Bold" w:cs="Times New Roman"/>
      <w:color w:val="000000"/>
      <w:sz w:val="1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724CAE"/>
    <w:pPr>
      <w:suppressAutoHyphens w:val="0"/>
      <w:ind w:left="720"/>
      <w:contextualSpacing/>
    </w:pPr>
    <w:rPr>
      <w:rFonts w:ascii="Times New Roman" w:eastAsia="Times New Roman" w:hAnsi="Times New Roman"/>
      <w:color w:val="auto"/>
      <w:lang w:val="es-ES" w:eastAsia="es-ES"/>
    </w:rPr>
  </w:style>
  <w:style w:type="paragraph" w:customStyle="1" w:styleId="Prrafodelista1">
    <w:name w:val="Párrafo de lista1"/>
    <w:basedOn w:val="Normal"/>
    <w:uiPriority w:val="99"/>
    <w:qFormat/>
    <w:rsid w:val="00724CAE"/>
    <w:pPr>
      <w:suppressAutoHyphens w:val="0"/>
      <w:ind w:left="708"/>
    </w:pPr>
    <w:rPr>
      <w:rFonts w:ascii="Times New Roman" w:eastAsia="Times New Roman" w:hAnsi="Times New Roman"/>
      <w:color w:val="auto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E9ECB-BC8D-4A8A-B3FB-BCBF4868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351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dc:description/>
  <cp:lastModifiedBy>Monica Artacho Sanchez</cp:lastModifiedBy>
  <cp:revision>26</cp:revision>
  <cp:lastPrinted>2022-05-05T06:26:00Z</cp:lastPrinted>
  <dcterms:created xsi:type="dcterms:W3CDTF">2023-03-10T07:31:00Z</dcterms:created>
  <dcterms:modified xsi:type="dcterms:W3CDTF">2024-10-21T07:08:00Z</dcterms:modified>
  <dc:language>es-ES</dc:language>
</cp:coreProperties>
</file>