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adjunta escrito y anexo sobre el requerimiento de subsanación por el que se solicita la revisión ordinaria de costes.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adjunta escrito y anexo sobre el requerimiento de subsanación por el que se solicita la revisión ordinaria de costes.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