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Contestación al requerimiento de subsanación del expte. 2024/83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atendido el requerimiento en plazo y forma a los efectos pertinentes de su tramitación.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