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solicita mediante esta instancia el reconocimiento y pago de los sobrecostes originados con la puesta en funcionamiento del MBR en EDAR El Ejido; y aplicación de la nueva tarifa aprobada por la Junta General del Consorcio en sesión de 14.08.2024.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solicita mediante esta instancia el reconocimiento y pago de los sobrecostes originados con la puesta en funcionamiento del MBR en EDAR El Ejido; y aplicación de la nueva tarifa aprobada por la Junta General del Consorcio en sesión de 14.08.2024.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