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incluye en esta instancia un Anexo rectificando un anterior Anexo registrado junto a la Solicitud Compensación Costes Terciario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incluye en esta instancia un Anexo rectificando un anterior Anexo registrado junto a la Solicitud Compensación Costes Terciario EDAR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