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han modificado solicitud inversiones dotación 2024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tenga por presentada la siguiente modificación de la dotación de 2024 con objeto de que sea aprobada en la siguiente junta general.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escrito de solicitud de cambio de listado de inversiones.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