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hace necesario la incorporación de un nuevo sistema de refrigeración no convencional con objeto de mantener operatividad del cuadro del CCM2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tenga por presentado este escrito de solicitud junto con su correspondiente puesta en competencia.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puesta en competencia para la actuación en cuestión.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