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B03D4" w14:textId="77777777" w:rsidR="00661F84" w:rsidRDefault="00661F84">
      <w:pPr>
        <w:spacing w:line="276" w:lineRule="auto"/>
        <w:rPr>
          <w:color w:val="000000"/>
        </w:rPr>
      </w:pPr>
    </w:p>
    <w:p w14:paraId="2D5EC883" w14:textId="77777777" w:rsidR="00661F84" w:rsidRDefault="003A2C26">
      <w:pPr>
        <w:spacing w:line="276" w:lineRule="auto"/>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4F92DF39" w14:textId="7DB952F6" w:rsidR="00661F84" w:rsidRPr="00245C9C" w:rsidRDefault="00661F84" w:rsidP="00245C9C">
      <w:pPr>
        <w:spacing w:line="276" w:lineRule="auto"/>
        <w:rPr>
          <w:b/>
          <w:bCs/>
          <w:color w:val="000000"/>
        </w:rPr>
      </w:pPr>
    </w:p>
    <w:p w14:paraId="508A6ED0" w14:textId="1040B8FB" w:rsidR="00661F84" w:rsidRDefault="003A2C26">
      <w:pPr>
        <w:spacing w:line="276" w:lineRule="auto"/>
        <w:jc w:val="center"/>
        <w:rPr>
          <w:b/>
          <w:bCs/>
          <w:color w:val="000000"/>
          <w:sz w:val="28"/>
          <w:szCs w:val="28"/>
        </w:rPr>
      </w:pPr>
      <w:r>
        <w:rPr>
          <w:b/>
          <w:bCs/>
          <w:color w:val="000000"/>
          <w:sz w:val="28"/>
          <w:szCs w:val="28"/>
        </w:rPr>
        <w:t xml:space="preserve">CONVENIO ENTRE LA DIPUTACIÓN PROVINCIAL DE ALBACETE Y EL CONSORCIO </w:t>
      </w:r>
      <w:r w:rsidR="00245C9C">
        <w:rPr>
          <w:b/>
          <w:bCs/>
          <w:color w:val="000000"/>
          <w:sz w:val="28"/>
          <w:szCs w:val="28"/>
        </w:rPr>
        <w:t xml:space="preserve">DEL CICLO INTEGRAL DEL AGUA DE USO URBANO EN EL PONIENTE ALMERIENSE </w:t>
      </w:r>
      <w:r>
        <w:rPr>
          <w:b/>
          <w:bCs/>
          <w:color w:val="000000"/>
          <w:sz w:val="28"/>
          <w:szCs w:val="28"/>
        </w:rPr>
        <w:t xml:space="preserve">PARA LA PUESTA A DISPOSICIÓN </w:t>
      </w:r>
      <w:r>
        <w:rPr>
          <w:b/>
          <w:bCs/>
          <w:color w:val="000000"/>
          <w:sz w:val="28"/>
          <w:szCs w:val="28"/>
        </w:rPr>
        <w:t>DE APLICATIVOS Y HERRAMIENTAS QUE INTEGRAN LA PLATAFORMA SEDIPUALBA</w:t>
      </w:r>
    </w:p>
    <w:p w14:paraId="69CA0AFC" w14:textId="77777777" w:rsidR="00661F84" w:rsidRDefault="00661F84">
      <w:pPr>
        <w:spacing w:line="276" w:lineRule="auto"/>
        <w:jc w:val="both"/>
        <w:rPr>
          <w:color w:val="000000"/>
          <w:sz w:val="28"/>
          <w:szCs w:val="28"/>
        </w:rPr>
      </w:pPr>
    </w:p>
    <w:p w14:paraId="32150501" w14:textId="77777777" w:rsidR="00661F84" w:rsidRDefault="00661F84">
      <w:pPr>
        <w:spacing w:line="276" w:lineRule="auto"/>
        <w:jc w:val="both"/>
        <w:rPr>
          <w:color w:val="000000"/>
          <w:sz w:val="28"/>
          <w:szCs w:val="28"/>
        </w:rPr>
      </w:pPr>
    </w:p>
    <w:p w14:paraId="6B6DC6C9" w14:textId="77777777" w:rsidR="00661F84" w:rsidRDefault="003A2C26">
      <w:pPr>
        <w:spacing w:line="276" w:lineRule="auto"/>
        <w:jc w:val="center"/>
        <w:rPr>
          <w:sz w:val="28"/>
          <w:szCs w:val="28"/>
        </w:rPr>
      </w:pPr>
      <w:r>
        <w:rPr>
          <w:color w:val="000000"/>
          <w:sz w:val="28"/>
          <w:szCs w:val="28"/>
        </w:rPr>
        <w:t>FIRMANTES</w:t>
      </w:r>
    </w:p>
    <w:p w14:paraId="6D6FFB89" w14:textId="77777777" w:rsidR="00661F84" w:rsidRDefault="003A2C26">
      <w:pPr>
        <w:spacing w:line="276" w:lineRule="auto"/>
        <w:jc w:val="both"/>
        <w:rPr>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p>
    <w:p w14:paraId="7C11B3F9" w14:textId="615F256D" w:rsidR="00661F84" w:rsidRDefault="003A2C26">
      <w:pPr>
        <w:spacing w:line="276" w:lineRule="auto"/>
        <w:jc w:val="both"/>
        <w:rPr>
          <w:sz w:val="28"/>
          <w:szCs w:val="28"/>
        </w:rPr>
      </w:pPr>
      <w:r>
        <w:rPr>
          <w:color w:val="000000"/>
          <w:sz w:val="28"/>
          <w:szCs w:val="28"/>
        </w:rPr>
        <w:t xml:space="preserve">De una parte, D. Santiago Cabañero Masip, Presidente de la Diputación Provincial de Albacete (CIF P0200000H), en nombre y representación de ésta, en cumplimiento del  acuerdo plenario de </w:t>
      </w:r>
      <w:r w:rsidR="00182072" w:rsidRPr="00182072">
        <w:rPr>
          <w:color w:val="FF0000"/>
          <w:sz w:val="28"/>
          <w:szCs w:val="28"/>
        </w:rPr>
        <w:t>fecha 17 de abril de 2020</w:t>
      </w:r>
    </w:p>
    <w:p w14:paraId="4E324560" w14:textId="77777777" w:rsidR="00661F84" w:rsidRDefault="00661F84">
      <w:pPr>
        <w:spacing w:line="276" w:lineRule="auto"/>
        <w:jc w:val="both"/>
        <w:rPr>
          <w:color w:val="000000"/>
          <w:sz w:val="28"/>
          <w:szCs w:val="28"/>
        </w:rPr>
      </w:pPr>
    </w:p>
    <w:p w14:paraId="799C5FB2" w14:textId="763ADDA5" w:rsidR="00661F84" w:rsidRDefault="003A2C26">
      <w:pPr>
        <w:spacing w:line="276" w:lineRule="auto"/>
        <w:jc w:val="both"/>
        <w:rPr>
          <w:sz w:val="28"/>
          <w:szCs w:val="28"/>
        </w:rPr>
      </w:pPr>
      <w:r>
        <w:rPr>
          <w:color w:val="000000"/>
          <w:sz w:val="28"/>
          <w:szCs w:val="28"/>
        </w:rPr>
        <w:t>De otra parte,</w:t>
      </w:r>
      <w:r w:rsidR="003478D7">
        <w:rPr>
          <w:sz w:val="28"/>
          <w:szCs w:val="28"/>
        </w:rPr>
        <w:t xml:space="preserve"> D. Gabriel Amat Ayllón, Presidente del Consorcio del Ciclo Integral del Agua de Uso Urbano en el Poniente Almeriense (CIF V04253639)</w:t>
      </w:r>
      <w:r w:rsidR="00182072">
        <w:rPr>
          <w:sz w:val="28"/>
          <w:szCs w:val="28"/>
        </w:rPr>
        <w:t xml:space="preserve"> </w:t>
      </w:r>
      <w:r>
        <w:rPr>
          <w:sz w:val="28"/>
          <w:szCs w:val="28"/>
        </w:rPr>
        <w:t>en</w:t>
      </w:r>
      <w:r>
        <w:rPr>
          <w:spacing w:val="1"/>
          <w:sz w:val="28"/>
          <w:szCs w:val="28"/>
        </w:rPr>
        <w:t xml:space="preserve"> </w:t>
      </w:r>
      <w:r>
        <w:rPr>
          <w:sz w:val="28"/>
          <w:szCs w:val="28"/>
        </w:rPr>
        <w:t>nombre</w:t>
      </w:r>
      <w:r>
        <w:rPr>
          <w:spacing w:val="1"/>
          <w:sz w:val="28"/>
          <w:szCs w:val="28"/>
        </w:rPr>
        <w:t xml:space="preserve"> </w:t>
      </w:r>
      <w:r>
        <w:rPr>
          <w:sz w:val="28"/>
          <w:szCs w:val="28"/>
        </w:rPr>
        <w:t>y</w:t>
      </w:r>
      <w:r>
        <w:rPr>
          <w:spacing w:val="1"/>
          <w:sz w:val="28"/>
          <w:szCs w:val="28"/>
        </w:rPr>
        <w:t xml:space="preserve"> </w:t>
      </w:r>
      <w:r>
        <w:rPr>
          <w:sz w:val="28"/>
          <w:szCs w:val="28"/>
        </w:rPr>
        <w:t>representación</w:t>
      </w:r>
      <w:r>
        <w:rPr>
          <w:spacing w:val="1"/>
          <w:sz w:val="28"/>
          <w:szCs w:val="28"/>
        </w:rPr>
        <w:t xml:space="preserve"> de </w:t>
      </w:r>
      <w:r w:rsidR="003478D7">
        <w:rPr>
          <w:spacing w:val="1"/>
          <w:sz w:val="28"/>
          <w:szCs w:val="28"/>
        </w:rPr>
        <w:t>é</w:t>
      </w:r>
      <w:r>
        <w:rPr>
          <w:spacing w:val="1"/>
          <w:sz w:val="28"/>
          <w:szCs w:val="28"/>
        </w:rPr>
        <w:t xml:space="preserve">sta, en cumplimiento del acuerdo </w:t>
      </w:r>
    </w:p>
    <w:p w14:paraId="7F10181C" w14:textId="77777777" w:rsidR="00661F84" w:rsidRDefault="00661F84">
      <w:pPr>
        <w:spacing w:line="276" w:lineRule="auto"/>
        <w:jc w:val="both"/>
        <w:rPr>
          <w:color w:val="000000"/>
          <w:sz w:val="28"/>
          <w:szCs w:val="28"/>
        </w:rPr>
      </w:pPr>
    </w:p>
    <w:p w14:paraId="2779F278" w14:textId="77777777" w:rsidR="00661F84" w:rsidRDefault="003A2C26">
      <w:pPr>
        <w:spacing w:line="276" w:lineRule="auto"/>
        <w:jc w:val="both"/>
        <w:rPr>
          <w:sz w:val="28"/>
          <w:szCs w:val="28"/>
        </w:rPr>
      </w:pPr>
      <w:r>
        <w:rPr>
          <w:color w:val="000000"/>
          <w:sz w:val="28"/>
          <w:szCs w:val="28"/>
        </w:rPr>
        <w:t xml:space="preserve">Actúan como fedatario en la formalización de este Convenio </w:t>
      </w:r>
    </w:p>
    <w:p w14:paraId="0C57A8A8" w14:textId="77777777" w:rsidR="00661F84" w:rsidRDefault="00661F84">
      <w:pPr>
        <w:spacing w:line="276" w:lineRule="auto"/>
        <w:jc w:val="both"/>
        <w:rPr>
          <w:color w:val="000000"/>
          <w:sz w:val="28"/>
          <w:szCs w:val="28"/>
        </w:rPr>
      </w:pPr>
    </w:p>
    <w:p w14:paraId="19EDFE50" w14:textId="77777777" w:rsidR="00661F84" w:rsidRDefault="003A2C26">
      <w:pPr>
        <w:spacing w:line="276" w:lineRule="auto"/>
        <w:jc w:val="both"/>
        <w:rPr>
          <w:sz w:val="28"/>
          <w:szCs w:val="28"/>
        </w:rPr>
      </w:pPr>
      <w:r>
        <w:rPr>
          <w:color w:val="000000"/>
          <w:sz w:val="28"/>
          <w:szCs w:val="28"/>
        </w:rPr>
        <w:t>Ambas partes se reconocen capacidad suficiente para la firma del presente convenio.</w:t>
      </w:r>
    </w:p>
    <w:p w14:paraId="5A420F43" w14:textId="77777777" w:rsidR="00661F84" w:rsidRDefault="00661F84">
      <w:pPr>
        <w:spacing w:line="276" w:lineRule="auto"/>
        <w:jc w:val="both"/>
        <w:rPr>
          <w:color w:val="000000"/>
          <w:sz w:val="28"/>
          <w:szCs w:val="28"/>
        </w:rPr>
      </w:pPr>
    </w:p>
    <w:p w14:paraId="33507321" w14:textId="77777777" w:rsidR="00661F84" w:rsidRDefault="00661F84">
      <w:pPr>
        <w:spacing w:line="276" w:lineRule="auto"/>
        <w:jc w:val="both"/>
        <w:rPr>
          <w:color w:val="000000"/>
          <w:sz w:val="28"/>
          <w:szCs w:val="28"/>
        </w:rPr>
      </w:pPr>
    </w:p>
    <w:p w14:paraId="305D8125" w14:textId="77777777" w:rsidR="00661F84" w:rsidRDefault="003A2C26">
      <w:pPr>
        <w:spacing w:line="276" w:lineRule="auto"/>
        <w:jc w:val="center"/>
        <w:rPr>
          <w:sz w:val="28"/>
          <w:szCs w:val="28"/>
        </w:rPr>
      </w:pPr>
      <w:r>
        <w:rPr>
          <w:b/>
          <w:bCs/>
          <w:color w:val="000000"/>
          <w:sz w:val="28"/>
          <w:szCs w:val="28"/>
        </w:rPr>
        <w:t>EXPONEN</w:t>
      </w:r>
    </w:p>
    <w:p w14:paraId="0E303F36" w14:textId="77777777" w:rsidR="00661F84" w:rsidRDefault="00661F84">
      <w:pPr>
        <w:spacing w:line="276" w:lineRule="auto"/>
        <w:jc w:val="both"/>
        <w:rPr>
          <w:b/>
          <w:bCs/>
          <w:color w:val="000000"/>
          <w:sz w:val="28"/>
          <w:szCs w:val="28"/>
        </w:rPr>
      </w:pPr>
    </w:p>
    <w:p w14:paraId="6BF5BB21" w14:textId="77777777" w:rsidR="00661F84" w:rsidRDefault="003A2C26">
      <w:pPr>
        <w:spacing w:line="276" w:lineRule="auto"/>
        <w:jc w:val="both"/>
        <w:rPr>
          <w:sz w:val="28"/>
          <w:szCs w:val="28"/>
        </w:rPr>
      </w:pPr>
      <w:r>
        <w:rPr>
          <w:b/>
          <w:bCs/>
          <w:color w:val="000000"/>
          <w:sz w:val="28"/>
          <w:szCs w:val="28"/>
        </w:rPr>
        <w:t>Primero</w:t>
      </w:r>
    </w:p>
    <w:p w14:paraId="4D18C9E3" w14:textId="77777777" w:rsidR="00661F84" w:rsidRDefault="003A2C26">
      <w:pPr>
        <w:spacing w:line="276" w:lineRule="auto"/>
        <w:jc w:val="both"/>
        <w:rPr>
          <w:sz w:val="28"/>
          <w:szCs w:val="28"/>
        </w:rPr>
      </w:pPr>
      <w:r>
        <w:rPr>
          <w:color w:val="000000"/>
          <w:sz w:val="28"/>
          <w:szCs w:val="28"/>
        </w:rPr>
        <w:tab/>
      </w:r>
    </w:p>
    <w:p w14:paraId="4B05EEB1" w14:textId="43950AE1" w:rsidR="00661F84" w:rsidRDefault="003A2C26">
      <w:pPr>
        <w:spacing w:line="276" w:lineRule="auto"/>
        <w:jc w:val="both"/>
        <w:rPr>
          <w:sz w:val="28"/>
          <w:szCs w:val="28"/>
        </w:rPr>
      </w:pPr>
      <w:r>
        <w:rPr>
          <w:color w:val="000000"/>
          <w:sz w:val="28"/>
          <w:szCs w:val="28"/>
        </w:rPr>
        <w:tab/>
      </w:r>
      <w:r>
        <w:rPr>
          <w:color w:val="000000"/>
          <w:sz w:val="28"/>
          <w:szCs w:val="28"/>
        </w:rPr>
        <w:t xml:space="preserve">Que la Diputación </w:t>
      </w:r>
      <w:r w:rsidR="00246A57">
        <w:rPr>
          <w:color w:val="000000"/>
          <w:sz w:val="28"/>
          <w:szCs w:val="28"/>
        </w:rPr>
        <w:t>P</w:t>
      </w:r>
      <w:r>
        <w:rPr>
          <w:color w:val="000000"/>
          <w:sz w:val="28"/>
          <w:szCs w:val="28"/>
        </w:rPr>
        <w:t>rovincial de Albacete</w:t>
      </w:r>
      <w:r w:rsidR="00246A57">
        <w:rPr>
          <w:color w:val="000000"/>
          <w:sz w:val="28"/>
          <w:szCs w:val="28"/>
        </w:rPr>
        <w:t>,</w:t>
      </w:r>
      <w:r>
        <w:rPr>
          <w:color w:val="000000"/>
          <w:sz w:val="28"/>
          <w:szCs w:val="28"/>
        </w:rPr>
        <w:t xml:space="preserve"> </w:t>
      </w:r>
      <w:r>
        <w:rPr>
          <w:color w:val="000000"/>
          <w:sz w:val="28"/>
          <w:szCs w:val="28"/>
        </w:rPr>
        <w:t>por acuerdo de Pleno del día 17 de abril de 2020</w:t>
      </w:r>
      <w:r w:rsidR="00246A57">
        <w:rPr>
          <w:color w:val="000000"/>
          <w:sz w:val="28"/>
          <w:szCs w:val="28"/>
        </w:rPr>
        <w:t>,</w:t>
      </w:r>
      <w:r>
        <w:rPr>
          <w:color w:val="000000"/>
          <w:sz w:val="28"/>
          <w:szCs w:val="28"/>
        </w:rPr>
        <w:t xml:space="preserve"> extendió a corporaciones de derecho público la puesta a disposición </w:t>
      </w:r>
      <w:r>
        <w:rPr>
          <w:color w:val="000000"/>
          <w:sz w:val="28"/>
          <w:szCs w:val="28"/>
        </w:rPr>
        <w:t>de   la utilización en modo servicio de las aplicaciones integradas en la Plataforma Sedipualba, en términos similares con lo dispuesto en el artículo 157 de la Ley 40/2015 de Régimen Jurídico del Sector Público</w:t>
      </w:r>
      <w:r w:rsidR="00246A57">
        <w:rPr>
          <w:color w:val="000000"/>
          <w:sz w:val="28"/>
          <w:szCs w:val="28"/>
        </w:rPr>
        <w:t>,</w:t>
      </w:r>
      <w:r>
        <w:rPr>
          <w:color w:val="000000"/>
          <w:sz w:val="28"/>
          <w:szCs w:val="28"/>
        </w:rPr>
        <w:t xml:space="preserve"> que se ha hecho extensiva a las asociaciones  en las que se integran entidades locales y</w:t>
      </w:r>
      <w:r w:rsidR="00246A57">
        <w:rPr>
          <w:color w:val="000000"/>
          <w:sz w:val="28"/>
          <w:szCs w:val="28"/>
        </w:rPr>
        <w:t>,</w:t>
      </w:r>
      <w:r>
        <w:rPr>
          <w:color w:val="000000"/>
          <w:sz w:val="28"/>
          <w:szCs w:val="28"/>
        </w:rPr>
        <w:t xml:space="preserve"> muy especialmente</w:t>
      </w:r>
      <w:r w:rsidR="00246A57">
        <w:rPr>
          <w:color w:val="000000"/>
          <w:sz w:val="28"/>
          <w:szCs w:val="28"/>
        </w:rPr>
        <w:t>,</w:t>
      </w:r>
      <w:r>
        <w:rPr>
          <w:color w:val="000000"/>
          <w:sz w:val="28"/>
          <w:szCs w:val="28"/>
        </w:rPr>
        <w:t xml:space="preserve"> las del mundo rural.</w:t>
      </w:r>
    </w:p>
    <w:p w14:paraId="3DA2E55A" w14:textId="77777777" w:rsidR="00661F84" w:rsidRDefault="00661F84">
      <w:pPr>
        <w:spacing w:line="276" w:lineRule="auto"/>
        <w:jc w:val="both"/>
        <w:rPr>
          <w:color w:val="000000"/>
          <w:sz w:val="28"/>
          <w:szCs w:val="28"/>
        </w:rPr>
      </w:pPr>
    </w:p>
    <w:p w14:paraId="2D457A80" w14:textId="77777777" w:rsidR="00661F84" w:rsidRDefault="00661F84">
      <w:pPr>
        <w:spacing w:line="276" w:lineRule="auto"/>
        <w:jc w:val="both"/>
        <w:rPr>
          <w:b/>
          <w:bCs/>
          <w:color w:val="000000"/>
          <w:sz w:val="28"/>
          <w:szCs w:val="28"/>
        </w:rPr>
      </w:pPr>
    </w:p>
    <w:p w14:paraId="5D793AF1" w14:textId="77777777" w:rsidR="00661F84" w:rsidRDefault="003A2C26">
      <w:pPr>
        <w:spacing w:line="276" w:lineRule="auto"/>
        <w:jc w:val="both"/>
        <w:rPr>
          <w:sz w:val="28"/>
          <w:szCs w:val="28"/>
        </w:rPr>
      </w:pPr>
      <w:r>
        <w:rPr>
          <w:b/>
          <w:bCs/>
          <w:color w:val="000000"/>
          <w:sz w:val="28"/>
          <w:szCs w:val="28"/>
        </w:rPr>
        <w:t>Segundo</w:t>
      </w:r>
    </w:p>
    <w:p w14:paraId="0ED72378" w14:textId="77777777"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b/>
          <w:bCs/>
          <w:color w:val="000000"/>
          <w:sz w:val="28"/>
          <w:szCs w:val="28"/>
        </w:rPr>
        <w:tab/>
      </w:r>
    </w:p>
    <w:p w14:paraId="6E7865FE" w14:textId="696996DF"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color w:val="000000"/>
          <w:sz w:val="28"/>
          <w:szCs w:val="28"/>
        </w:rPr>
        <w:tab/>
        <w:t>Que el Consorcio Aguas del Poniente</w:t>
      </w:r>
      <w:r w:rsidR="00182072">
        <w:rPr>
          <w:rFonts w:ascii="Liberation Serif" w:hAnsi="Liberation Serif"/>
          <w:color w:val="000000"/>
          <w:sz w:val="28"/>
          <w:szCs w:val="28"/>
        </w:rPr>
        <w:t xml:space="preserve"> </w:t>
      </w:r>
      <w:r>
        <w:rPr>
          <w:rFonts w:ascii="Liberation Serif" w:hAnsi="Liberation Serif"/>
          <w:color w:val="000000"/>
          <w:sz w:val="28"/>
          <w:szCs w:val="28"/>
        </w:rPr>
        <w:t>(entidad cesionaria</w:t>
      </w:r>
      <w:r>
        <w:rPr>
          <w:rFonts w:ascii="Liberation Serif" w:hAnsi="Liberation Serif"/>
          <w:color w:val="000000"/>
          <w:sz w:val="28"/>
          <w:szCs w:val="28"/>
        </w:rPr>
        <w:t>) ha tenido conocimiento de la  política de cooperación interadministrativa en materia de administración electrónica desarrollada por la Diputación Provincial de Albacete, habiendo sido informado por ésta acerca de las aplicaciones de Administración Electrónica integradas en la plataforma “Sedipualba”, y  considera que la utilización de los aplicativos y herramientas que integran dicha plataforma de Administración Electrónica constituye la solución más adecuada para dar cumplimiento a las prescripciones leg</w:t>
      </w:r>
      <w:r>
        <w:rPr>
          <w:rFonts w:ascii="Liberation Serif" w:hAnsi="Liberation Serif"/>
          <w:color w:val="000000"/>
          <w:sz w:val="28"/>
          <w:szCs w:val="28"/>
        </w:rPr>
        <w:t>ales sobre Administración Electrónica impulsando la transformación digital del medio rural.</w:t>
      </w:r>
    </w:p>
    <w:p w14:paraId="1BEDB258" w14:textId="77777777" w:rsidR="00661F84" w:rsidRDefault="00661F84">
      <w:pPr>
        <w:pStyle w:val="NormalWeb"/>
        <w:shd w:val="clear" w:color="auto" w:fill="FFFFFF"/>
        <w:spacing w:after="0" w:line="276" w:lineRule="auto"/>
        <w:jc w:val="both"/>
        <w:rPr>
          <w:rFonts w:ascii="Liberation Serif" w:hAnsi="Liberation Serif"/>
          <w:color w:val="000000"/>
          <w:sz w:val="28"/>
          <w:szCs w:val="28"/>
        </w:rPr>
      </w:pPr>
    </w:p>
    <w:p w14:paraId="08DF9132" w14:textId="77777777"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color w:val="000000"/>
          <w:sz w:val="28"/>
          <w:szCs w:val="28"/>
        </w:rPr>
        <w:t>En virtud de todo ello, ambas partes acuerdan suscribir el presente Convenio, que se regirá por las siguientes</w:t>
      </w:r>
    </w:p>
    <w:p w14:paraId="03D1D9A0" w14:textId="77777777" w:rsidR="00661F84" w:rsidRDefault="00661F84">
      <w:pPr>
        <w:pStyle w:val="NormalWeb"/>
        <w:shd w:val="clear" w:color="auto" w:fill="FFFFFF"/>
        <w:spacing w:after="0" w:line="276" w:lineRule="auto"/>
        <w:jc w:val="both"/>
        <w:rPr>
          <w:rFonts w:ascii="Liberation Serif" w:hAnsi="Liberation Serif"/>
          <w:color w:val="000000"/>
          <w:sz w:val="28"/>
          <w:szCs w:val="28"/>
        </w:rPr>
      </w:pPr>
    </w:p>
    <w:p w14:paraId="249673EB" w14:textId="40B8D1AD" w:rsidR="00661F84" w:rsidRDefault="003A2C26">
      <w:pPr>
        <w:pStyle w:val="NormalWeb"/>
        <w:shd w:val="clear" w:color="auto" w:fill="FFFFFF"/>
        <w:spacing w:after="0" w:line="276" w:lineRule="auto"/>
        <w:jc w:val="center"/>
        <w:rPr>
          <w:rFonts w:ascii="Liberation Serif" w:hAnsi="Liberation Serif"/>
          <w:sz w:val="28"/>
          <w:szCs w:val="28"/>
        </w:rPr>
      </w:pPr>
      <w:r>
        <w:rPr>
          <w:rFonts w:ascii="Liberation Serif" w:hAnsi="Liberation Serif"/>
          <w:color w:val="000000"/>
          <w:sz w:val="28"/>
          <w:szCs w:val="28"/>
        </w:rPr>
        <w:tab/>
      </w:r>
      <w:r>
        <w:rPr>
          <w:rFonts w:ascii="Liberation Serif" w:hAnsi="Liberation Serif"/>
          <w:b/>
          <w:bCs/>
          <w:color w:val="000000"/>
          <w:sz w:val="28"/>
          <w:szCs w:val="28"/>
        </w:rPr>
        <w:t>CL</w:t>
      </w:r>
      <w:r w:rsidR="00182072">
        <w:rPr>
          <w:rFonts w:ascii="Liberation Serif" w:hAnsi="Liberation Serif"/>
          <w:b/>
          <w:bCs/>
          <w:color w:val="000000"/>
          <w:sz w:val="28"/>
          <w:szCs w:val="28"/>
        </w:rPr>
        <w:t>Á</w:t>
      </w:r>
      <w:r>
        <w:rPr>
          <w:rFonts w:ascii="Liberation Serif" w:hAnsi="Liberation Serif"/>
          <w:b/>
          <w:bCs/>
          <w:color w:val="000000"/>
          <w:sz w:val="28"/>
          <w:szCs w:val="28"/>
        </w:rPr>
        <w:t>USULAS</w:t>
      </w:r>
    </w:p>
    <w:p w14:paraId="3AE9B8F7" w14:textId="77777777" w:rsidR="00661F84" w:rsidRDefault="00661F84">
      <w:pPr>
        <w:pStyle w:val="NormalWeb"/>
        <w:shd w:val="clear" w:color="auto" w:fill="FFFFFF"/>
        <w:spacing w:after="0" w:line="276" w:lineRule="auto"/>
        <w:jc w:val="center"/>
        <w:rPr>
          <w:rFonts w:ascii="Liberation Serif" w:hAnsi="Liberation Serif"/>
          <w:color w:val="000000"/>
          <w:sz w:val="28"/>
          <w:szCs w:val="28"/>
        </w:rPr>
      </w:pPr>
    </w:p>
    <w:p w14:paraId="3369B738" w14:textId="77777777"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b/>
          <w:bCs/>
          <w:color w:val="000000"/>
          <w:sz w:val="28"/>
          <w:szCs w:val="28"/>
        </w:rPr>
        <w:t>Primera. Objeto</w:t>
      </w:r>
    </w:p>
    <w:p w14:paraId="79A6B0DD" w14:textId="77777777" w:rsidR="00661F84" w:rsidRDefault="00661F84">
      <w:pPr>
        <w:pStyle w:val="NormalWeb"/>
        <w:shd w:val="clear" w:color="auto" w:fill="FFFFFF"/>
        <w:spacing w:after="0" w:line="276" w:lineRule="auto"/>
        <w:jc w:val="both"/>
        <w:rPr>
          <w:rFonts w:ascii="Liberation Serif" w:hAnsi="Liberation Serif"/>
          <w:b/>
          <w:bCs/>
          <w:color w:val="000000"/>
          <w:sz w:val="28"/>
          <w:szCs w:val="28"/>
        </w:rPr>
      </w:pPr>
    </w:p>
    <w:p w14:paraId="0ADC001B" w14:textId="367DF50B"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color w:val="000000"/>
          <w:sz w:val="28"/>
          <w:szCs w:val="28"/>
        </w:rPr>
        <w:tab/>
        <w:t>El objeto del presente convenio es la puesta a disposición de la entidad cesionaria  de la totalidad de aplicativos y herramientas que integran la Plataforma SEDIPUALBA y sus sucesivas ampliaciones y actualizaciones, así como el alojamiento en los servidores de la Diputación de Albacete, o de otras administraciones públicas bajo el control de la Diputación, de la información generada</w:t>
      </w:r>
      <w:r w:rsidR="00182072">
        <w:rPr>
          <w:rFonts w:ascii="Liberation Serif" w:hAnsi="Liberation Serif"/>
          <w:color w:val="000000"/>
          <w:sz w:val="28"/>
          <w:szCs w:val="28"/>
        </w:rPr>
        <w:t xml:space="preserve"> </w:t>
      </w:r>
      <w:r>
        <w:rPr>
          <w:rFonts w:ascii="Liberation Serif" w:hAnsi="Liberation Serif"/>
          <w:color w:val="000000"/>
          <w:sz w:val="28"/>
          <w:szCs w:val="28"/>
        </w:rPr>
        <w:t>con cumplimiento de las exigencias del ENS. Todo ello en las modalidades de software y almacenamiento como  servicio (SaaS).</w:t>
      </w:r>
    </w:p>
    <w:p w14:paraId="34FCBBFD" w14:textId="77777777" w:rsidR="00661F84" w:rsidRDefault="00661F84">
      <w:pPr>
        <w:pStyle w:val="NormalWeb"/>
        <w:shd w:val="clear" w:color="auto" w:fill="FFFFFF"/>
        <w:spacing w:after="0" w:line="276" w:lineRule="auto"/>
        <w:jc w:val="both"/>
        <w:rPr>
          <w:rFonts w:ascii="Liberation Serif" w:hAnsi="Liberation Serif"/>
          <w:sz w:val="28"/>
          <w:szCs w:val="28"/>
        </w:rPr>
      </w:pPr>
    </w:p>
    <w:p w14:paraId="5EC4AAE1" w14:textId="192E66EA" w:rsidR="00661F84" w:rsidRDefault="003A2C26">
      <w:pPr>
        <w:spacing w:line="276" w:lineRule="auto"/>
        <w:jc w:val="both"/>
        <w:rPr>
          <w:sz w:val="28"/>
          <w:szCs w:val="28"/>
        </w:rPr>
      </w:pPr>
      <w:r>
        <w:rPr>
          <w:color w:val="000000"/>
          <w:sz w:val="28"/>
          <w:szCs w:val="28"/>
        </w:rPr>
        <w:tab/>
        <w:t xml:space="preserve"> Por razones de eficacia, </w:t>
      </w:r>
      <w:r>
        <w:rPr>
          <w:color w:val="000000"/>
          <w:sz w:val="28"/>
          <w:szCs w:val="28"/>
        </w:rPr>
        <w:t>la Diputación de Albacete gestionará por delegación de la corporación los dominios de la sede electrónica, la utilización de sellos de componentes o código seguro de verificación de la Sede electrónica como mecanismo de firma en actuaciones administrativas automatizadas.</w:t>
      </w:r>
    </w:p>
    <w:p w14:paraId="39DC6F00" w14:textId="77777777" w:rsidR="00661F84" w:rsidRDefault="00661F84">
      <w:pPr>
        <w:spacing w:line="276" w:lineRule="auto"/>
        <w:jc w:val="both"/>
        <w:rPr>
          <w:color w:val="000000"/>
          <w:sz w:val="28"/>
          <w:szCs w:val="28"/>
        </w:rPr>
      </w:pPr>
    </w:p>
    <w:p w14:paraId="589B371A" w14:textId="77777777" w:rsidR="00661F84" w:rsidRDefault="00661F84">
      <w:pPr>
        <w:spacing w:line="276" w:lineRule="auto"/>
        <w:jc w:val="both"/>
        <w:rPr>
          <w:sz w:val="28"/>
          <w:szCs w:val="28"/>
        </w:rPr>
      </w:pPr>
    </w:p>
    <w:p w14:paraId="559DD40F" w14:textId="77777777" w:rsidR="00661F84" w:rsidRDefault="00661F84">
      <w:pPr>
        <w:spacing w:line="276" w:lineRule="auto"/>
        <w:jc w:val="both"/>
        <w:rPr>
          <w:sz w:val="28"/>
          <w:szCs w:val="28"/>
        </w:rPr>
      </w:pPr>
    </w:p>
    <w:p w14:paraId="22DD27B5" w14:textId="77777777" w:rsidR="00661F84" w:rsidRDefault="00661F84">
      <w:pPr>
        <w:spacing w:line="276" w:lineRule="auto"/>
        <w:jc w:val="both"/>
        <w:rPr>
          <w:sz w:val="28"/>
          <w:szCs w:val="28"/>
        </w:rPr>
      </w:pPr>
    </w:p>
    <w:p w14:paraId="1948FF95" w14:textId="77777777" w:rsidR="00661F84" w:rsidRDefault="003A2C26">
      <w:pPr>
        <w:spacing w:line="276" w:lineRule="auto"/>
        <w:jc w:val="both"/>
        <w:rPr>
          <w:sz w:val="28"/>
          <w:szCs w:val="28"/>
        </w:rPr>
      </w:pPr>
      <w:r>
        <w:rPr>
          <w:b/>
          <w:bCs/>
          <w:color w:val="000000"/>
          <w:sz w:val="28"/>
          <w:szCs w:val="28"/>
        </w:rPr>
        <w:t>Segunda. Funcionalidades</w:t>
      </w:r>
    </w:p>
    <w:p w14:paraId="2081ACC8" w14:textId="77777777" w:rsidR="00661F84" w:rsidRDefault="00661F84">
      <w:pPr>
        <w:spacing w:line="276" w:lineRule="auto"/>
        <w:jc w:val="both"/>
        <w:rPr>
          <w:color w:val="000000"/>
          <w:sz w:val="28"/>
          <w:szCs w:val="28"/>
        </w:rPr>
      </w:pPr>
    </w:p>
    <w:p w14:paraId="29CE2A3B" w14:textId="6143F591" w:rsidR="00661F84" w:rsidRDefault="003A2C26">
      <w:pPr>
        <w:spacing w:line="276" w:lineRule="auto"/>
        <w:jc w:val="both"/>
        <w:rPr>
          <w:sz w:val="28"/>
          <w:szCs w:val="28"/>
        </w:rPr>
      </w:pPr>
      <w:r>
        <w:rPr>
          <w:color w:val="000000"/>
          <w:sz w:val="28"/>
          <w:szCs w:val="28"/>
        </w:rPr>
        <w:tab/>
        <w:t xml:space="preserve"> La Plataforma de Administración Electrónica SEDIPUALBA</w:t>
      </w:r>
      <w:r>
        <w:rPr>
          <w:color w:val="000000"/>
          <w:sz w:val="28"/>
          <w:szCs w:val="28"/>
        </w:rPr>
        <w:t xml:space="preserve"> integra las siguientes herramientas plenamente operativas: SEGEX (Sistema de gestión de Expedientes Electrónicos), SEFYCU (Sistema de firma y custodia de documentos, notificaciones y publicaciones de actos y acuerdos), SERES (Sistema de registro electrónico</w:t>
      </w:r>
      <w:r w:rsidR="00182072">
        <w:rPr>
          <w:color w:val="000000"/>
          <w:sz w:val="28"/>
          <w:szCs w:val="28"/>
        </w:rPr>
        <w:t xml:space="preserve">). </w:t>
      </w:r>
    </w:p>
    <w:p w14:paraId="6536EE66" w14:textId="77777777" w:rsidR="00661F84" w:rsidRDefault="00661F84">
      <w:pPr>
        <w:spacing w:line="276" w:lineRule="auto"/>
        <w:jc w:val="both"/>
        <w:rPr>
          <w:color w:val="000000"/>
          <w:sz w:val="28"/>
          <w:szCs w:val="28"/>
        </w:rPr>
      </w:pPr>
    </w:p>
    <w:p w14:paraId="0764BE83" w14:textId="77777777"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b/>
          <w:bCs/>
          <w:color w:val="000000"/>
          <w:sz w:val="28"/>
          <w:szCs w:val="28"/>
        </w:rPr>
        <w:t>Tercera. Disponibilidad</w:t>
      </w:r>
    </w:p>
    <w:p w14:paraId="3EED59F1" w14:textId="77777777" w:rsidR="00661F84" w:rsidRDefault="00661F84">
      <w:pPr>
        <w:spacing w:line="276" w:lineRule="auto"/>
        <w:jc w:val="both"/>
        <w:rPr>
          <w:color w:val="000000"/>
          <w:sz w:val="28"/>
          <w:szCs w:val="28"/>
        </w:rPr>
      </w:pPr>
    </w:p>
    <w:p w14:paraId="32A04ECA" w14:textId="6F7DA7EF" w:rsidR="00661F84" w:rsidRDefault="003A2C26">
      <w:pPr>
        <w:spacing w:line="276" w:lineRule="auto"/>
        <w:jc w:val="both"/>
        <w:rPr>
          <w:sz w:val="28"/>
          <w:szCs w:val="28"/>
        </w:rPr>
      </w:pPr>
      <w:r>
        <w:rPr>
          <w:color w:val="000000"/>
          <w:sz w:val="28"/>
          <w:szCs w:val="28"/>
        </w:rPr>
        <w:tab/>
        <w:t xml:space="preserve">La Diputación de Albacete se compromete a </w:t>
      </w:r>
      <w:r>
        <w:rPr>
          <w:color w:val="000000"/>
          <w:sz w:val="28"/>
          <w:szCs w:val="28"/>
        </w:rPr>
        <w:t>ofrecer las aplicaciones de SEDIPUALBA a través de sistemas</w:t>
      </w:r>
      <w:r w:rsidR="00182072">
        <w:rPr>
          <w:color w:val="000000"/>
          <w:sz w:val="28"/>
          <w:szCs w:val="28"/>
        </w:rPr>
        <w:t xml:space="preserve"> </w:t>
      </w:r>
      <w:r>
        <w:rPr>
          <w:color w:val="000000"/>
          <w:sz w:val="28"/>
          <w:szCs w:val="28"/>
        </w:rPr>
        <w:t>de infraestructura tecnológica y de comunicaciones adecuada y debidamente mantenida</w:t>
      </w:r>
      <w:r w:rsidR="00182072">
        <w:rPr>
          <w:color w:val="000000"/>
          <w:sz w:val="28"/>
          <w:szCs w:val="28"/>
        </w:rPr>
        <w:t xml:space="preserve"> </w:t>
      </w:r>
      <w:r>
        <w:rPr>
          <w:color w:val="000000"/>
          <w:sz w:val="28"/>
          <w:szCs w:val="28"/>
        </w:rPr>
        <w:t xml:space="preserve">24 horas al día y </w:t>
      </w:r>
      <w:r>
        <w:rPr>
          <w:color w:val="000000"/>
          <w:sz w:val="28"/>
          <w:szCs w:val="28"/>
        </w:rPr>
        <w:t>365 días al año.</w:t>
      </w:r>
    </w:p>
    <w:p w14:paraId="68A07A38" w14:textId="77777777" w:rsidR="00182072" w:rsidRDefault="003A2C26">
      <w:pPr>
        <w:spacing w:line="276" w:lineRule="auto"/>
        <w:jc w:val="both"/>
        <w:rPr>
          <w:color w:val="000000"/>
          <w:sz w:val="28"/>
          <w:szCs w:val="28"/>
        </w:rPr>
      </w:pPr>
      <w:r>
        <w:rPr>
          <w:color w:val="000000"/>
          <w:sz w:val="28"/>
          <w:szCs w:val="28"/>
        </w:rPr>
        <w:tab/>
      </w:r>
    </w:p>
    <w:p w14:paraId="4AFB65DC" w14:textId="3C84F4AB" w:rsidR="00661F84" w:rsidRDefault="003A2C26" w:rsidP="00182072">
      <w:pPr>
        <w:spacing w:line="276" w:lineRule="auto"/>
        <w:ind w:firstLine="709"/>
        <w:jc w:val="both"/>
        <w:rPr>
          <w:sz w:val="28"/>
          <w:szCs w:val="28"/>
        </w:rPr>
      </w:pPr>
      <w:r>
        <w:rPr>
          <w:color w:val="000000"/>
          <w:sz w:val="28"/>
          <w:szCs w:val="28"/>
        </w:rPr>
        <w:t>En ese sentido</w:t>
      </w:r>
      <w:r w:rsidR="00182072">
        <w:rPr>
          <w:color w:val="000000"/>
          <w:sz w:val="28"/>
          <w:szCs w:val="28"/>
        </w:rPr>
        <w:t>,</w:t>
      </w:r>
      <w:r>
        <w:rPr>
          <w:color w:val="000000"/>
          <w:sz w:val="28"/>
          <w:szCs w:val="28"/>
        </w:rPr>
        <w:t xml:space="preserve"> se asume</w:t>
      </w:r>
      <w:r w:rsidR="00182072">
        <w:rPr>
          <w:color w:val="000000"/>
          <w:sz w:val="28"/>
          <w:szCs w:val="28"/>
        </w:rPr>
        <w:t>n</w:t>
      </w:r>
      <w:r>
        <w:rPr>
          <w:color w:val="000000"/>
          <w:sz w:val="28"/>
          <w:szCs w:val="28"/>
        </w:rPr>
        <w:t xml:space="preserve"> los compromisos de aviso de las interrupciones por mantenimiento o por incidencias </w:t>
      </w:r>
      <w:r w:rsidR="00182072">
        <w:rPr>
          <w:color w:val="000000"/>
          <w:sz w:val="28"/>
          <w:szCs w:val="28"/>
        </w:rPr>
        <w:t>d</w:t>
      </w:r>
      <w:r>
        <w:rPr>
          <w:color w:val="000000"/>
          <w:sz w:val="28"/>
          <w:szCs w:val="28"/>
        </w:rPr>
        <w:t>el mantenimiento y de puesta a disposición de un Centro de Atención a Usuarios para incidencias del uso de las aplicaciones mediante plataforma web, con disponibilidad permanente y respuesta en horario laboral.</w:t>
      </w:r>
    </w:p>
    <w:p w14:paraId="297F97E4" w14:textId="77777777"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color w:val="000000"/>
          <w:sz w:val="28"/>
          <w:szCs w:val="28"/>
        </w:rPr>
        <w:tab/>
      </w:r>
    </w:p>
    <w:p w14:paraId="1EF2E00B" w14:textId="77777777"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color w:val="000000"/>
          <w:sz w:val="28"/>
          <w:szCs w:val="28"/>
        </w:rPr>
        <w:tab/>
        <w:t>La Diputación de Albacete dispone de personal suficiente con formación técnica, capacidad de decisión y disponibilidad para la gestión y administración ordinaria y la de resolución de incidencias.</w:t>
      </w:r>
    </w:p>
    <w:p w14:paraId="6689D425" w14:textId="77777777"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color w:val="000000"/>
          <w:sz w:val="28"/>
          <w:szCs w:val="28"/>
        </w:rPr>
        <w:tab/>
      </w:r>
    </w:p>
    <w:p w14:paraId="509C7A97" w14:textId="53AB07EE" w:rsidR="00661F84" w:rsidRDefault="003A2C26">
      <w:pPr>
        <w:pStyle w:val="NormalWeb"/>
        <w:shd w:val="clear" w:color="auto" w:fill="FFFFFF"/>
        <w:spacing w:after="0" w:line="276" w:lineRule="auto"/>
        <w:jc w:val="both"/>
        <w:rPr>
          <w:rFonts w:ascii="Liberation Serif" w:hAnsi="Liberation Serif"/>
          <w:sz w:val="28"/>
          <w:szCs w:val="28"/>
        </w:rPr>
      </w:pPr>
      <w:r>
        <w:rPr>
          <w:rFonts w:ascii="Liberation Serif" w:hAnsi="Liberation Serif"/>
          <w:color w:val="000000"/>
          <w:sz w:val="28"/>
          <w:szCs w:val="28"/>
        </w:rPr>
        <w:tab/>
        <w:t>Con periodicidad anual</w:t>
      </w:r>
      <w:r w:rsidR="00182072">
        <w:rPr>
          <w:rFonts w:ascii="Liberation Serif" w:hAnsi="Liberation Serif"/>
          <w:color w:val="000000"/>
          <w:sz w:val="28"/>
          <w:szCs w:val="28"/>
        </w:rPr>
        <w:t>,</w:t>
      </w:r>
      <w:r>
        <w:rPr>
          <w:rFonts w:ascii="Liberation Serif" w:hAnsi="Liberation Serif"/>
          <w:color w:val="000000"/>
          <w:sz w:val="28"/>
          <w:szCs w:val="28"/>
        </w:rPr>
        <w:t xml:space="preserve"> se realizará una evaluación conjunta de la capacidad consumida y una previsión de las necesidades del ejercicio siguiente.</w:t>
      </w:r>
    </w:p>
    <w:p w14:paraId="1E17C2F5" w14:textId="77777777" w:rsidR="00661F84" w:rsidRDefault="00661F84">
      <w:pPr>
        <w:pStyle w:val="NormalWeb"/>
        <w:shd w:val="clear" w:color="auto" w:fill="FFFFFF"/>
        <w:spacing w:after="0" w:line="276" w:lineRule="auto"/>
        <w:jc w:val="both"/>
        <w:rPr>
          <w:rFonts w:ascii="Liberation Serif" w:hAnsi="Liberation Serif"/>
          <w:b/>
          <w:color w:val="000000"/>
          <w:sz w:val="28"/>
          <w:szCs w:val="28"/>
        </w:rPr>
      </w:pPr>
    </w:p>
    <w:p w14:paraId="109EEB27" w14:textId="77777777" w:rsidR="00661F84" w:rsidRDefault="00661F84">
      <w:pPr>
        <w:spacing w:line="276" w:lineRule="auto"/>
        <w:jc w:val="both"/>
        <w:rPr>
          <w:b/>
          <w:color w:val="000000"/>
          <w:sz w:val="28"/>
          <w:szCs w:val="28"/>
        </w:rPr>
      </w:pPr>
    </w:p>
    <w:p w14:paraId="3BAFE8D9" w14:textId="77777777" w:rsidR="00661F84" w:rsidRDefault="003A2C26">
      <w:pPr>
        <w:spacing w:line="276" w:lineRule="auto"/>
        <w:jc w:val="both"/>
        <w:rPr>
          <w:sz w:val="28"/>
          <w:szCs w:val="28"/>
        </w:rPr>
      </w:pPr>
      <w:r>
        <w:rPr>
          <w:b/>
          <w:color w:val="000000"/>
          <w:sz w:val="28"/>
          <w:szCs w:val="28"/>
        </w:rPr>
        <w:t>Cuarta. Compromisos de seguridad</w:t>
      </w:r>
    </w:p>
    <w:p w14:paraId="668490B7" w14:textId="77777777" w:rsidR="00661F84" w:rsidRDefault="00661F84">
      <w:pPr>
        <w:spacing w:line="276" w:lineRule="auto"/>
        <w:jc w:val="both"/>
        <w:rPr>
          <w:sz w:val="28"/>
          <w:szCs w:val="28"/>
        </w:rPr>
      </w:pPr>
    </w:p>
    <w:p w14:paraId="180AE5CB" w14:textId="77777777" w:rsidR="00182072" w:rsidRDefault="003A2C26">
      <w:pPr>
        <w:spacing w:line="276" w:lineRule="auto"/>
        <w:ind w:firstLine="708"/>
        <w:jc w:val="both"/>
        <w:rPr>
          <w:color w:val="000000"/>
          <w:sz w:val="28"/>
          <w:szCs w:val="28"/>
        </w:rPr>
      </w:pPr>
      <w:r>
        <w:rPr>
          <w:color w:val="000000"/>
          <w:sz w:val="28"/>
          <w:szCs w:val="28"/>
        </w:rPr>
        <w:t>La Diputación Provincial de Albacete cumple, respecto a la Plataforma de SEDIPUALBA</w:t>
      </w:r>
      <w:r w:rsidR="00182072">
        <w:rPr>
          <w:color w:val="000000"/>
          <w:sz w:val="28"/>
          <w:szCs w:val="28"/>
        </w:rPr>
        <w:t>,</w:t>
      </w:r>
      <w:r>
        <w:rPr>
          <w:color w:val="000000"/>
          <w:sz w:val="28"/>
          <w:szCs w:val="28"/>
        </w:rPr>
        <w:t xml:space="preserve"> el Esquema Nacional de Seguridad (ENS) en su </w:t>
      </w:r>
      <w:r>
        <w:rPr>
          <w:color w:val="000000"/>
          <w:sz w:val="28"/>
          <w:szCs w:val="28"/>
        </w:rPr>
        <w:t xml:space="preserve">categoría Media, según se acredita mediante Certificado de conformidad número ENS-0503/ 24 de fecha 27 de enero de 2024 expedido por Applus Certification, existiendo medidas que </w:t>
      </w:r>
    </w:p>
    <w:p w14:paraId="2A8A8341" w14:textId="77777777" w:rsidR="00182072" w:rsidRDefault="00182072" w:rsidP="00182072">
      <w:pPr>
        <w:spacing w:line="276" w:lineRule="auto"/>
        <w:jc w:val="both"/>
        <w:rPr>
          <w:color w:val="000000"/>
          <w:sz w:val="28"/>
          <w:szCs w:val="28"/>
        </w:rPr>
      </w:pPr>
    </w:p>
    <w:p w14:paraId="3237F532" w14:textId="77777777" w:rsidR="00182072" w:rsidRDefault="00182072" w:rsidP="00182072">
      <w:pPr>
        <w:spacing w:line="276" w:lineRule="auto"/>
        <w:jc w:val="both"/>
        <w:rPr>
          <w:color w:val="000000"/>
          <w:sz w:val="28"/>
          <w:szCs w:val="28"/>
        </w:rPr>
      </w:pPr>
    </w:p>
    <w:p w14:paraId="7C1B3205" w14:textId="77777777" w:rsidR="00182072" w:rsidRDefault="00182072" w:rsidP="00182072">
      <w:pPr>
        <w:spacing w:line="276" w:lineRule="auto"/>
        <w:jc w:val="both"/>
        <w:rPr>
          <w:color w:val="000000"/>
          <w:sz w:val="28"/>
          <w:szCs w:val="28"/>
        </w:rPr>
      </w:pPr>
    </w:p>
    <w:p w14:paraId="06B0AC0D" w14:textId="27C64393" w:rsidR="00661F84" w:rsidRDefault="003A2C26" w:rsidP="00182072">
      <w:pPr>
        <w:spacing w:line="276" w:lineRule="auto"/>
        <w:jc w:val="both"/>
        <w:rPr>
          <w:color w:val="000000"/>
          <w:sz w:val="28"/>
          <w:szCs w:val="28"/>
        </w:rPr>
      </w:pPr>
      <w:r>
        <w:rPr>
          <w:color w:val="000000"/>
          <w:sz w:val="28"/>
          <w:szCs w:val="28"/>
        </w:rPr>
        <w:t>garantizan la integridad, autenticidad, confidencialidad, calidad, protección y conservación de los documentos almacenados.</w:t>
      </w:r>
    </w:p>
    <w:p w14:paraId="486DFEA7" w14:textId="77777777" w:rsidR="00661F84" w:rsidRDefault="00661F84">
      <w:pPr>
        <w:spacing w:line="276" w:lineRule="auto"/>
        <w:jc w:val="both"/>
        <w:rPr>
          <w:sz w:val="28"/>
          <w:szCs w:val="28"/>
        </w:rPr>
      </w:pPr>
    </w:p>
    <w:p w14:paraId="3ECF21C9" w14:textId="42252D5F" w:rsidR="00661F84" w:rsidRDefault="003A2C26">
      <w:pPr>
        <w:spacing w:line="276" w:lineRule="auto"/>
        <w:jc w:val="both"/>
        <w:rPr>
          <w:sz w:val="28"/>
          <w:szCs w:val="28"/>
        </w:rPr>
      </w:pPr>
      <w:r>
        <w:rPr>
          <w:b/>
          <w:color w:val="000000"/>
          <w:sz w:val="28"/>
          <w:szCs w:val="28"/>
        </w:rPr>
        <w:t xml:space="preserve">Quinta. Responsabilidades en </w:t>
      </w:r>
      <w:r>
        <w:rPr>
          <w:b/>
          <w:color w:val="000000"/>
          <w:sz w:val="28"/>
          <w:szCs w:val="28"/>
        </w:rPr>
        <w:t xml:space="preserve">relación </w:t>
      </w:r>
      <w:r>
        <w:rPr>
          <w:b/>
          <w:color w:val="000000"/>
          <w:sz w:val="28"/>
          <w:szCs w:val="28"/>
        </w:rPr>
        <w:t xml:space="preserve">con </w:t>
      </w:r>
      <w:r>
        <w:rPr>
          <w:b/>
          <w:color w:val="000000"/>
          <w:sz w:val="28"/>
          <w:szCs w:val="28"/>
        </w:rPr>
        <w:t xml:space="preserve">los datos a alojar en el servicio prestado y su manejo y/o </w:t>
      </w:r>
      <w:r>
        <w:rPr>
          <w:b/>
          <w:color w:val="000000"/>
          <w:sz w:val="28"/>
          <w:szCs w:val="28"/>
        </w:rPr>
        <w:t>tratamiento</w:t>
      </w:r>
    </w:p>
    <w:p w14:paraId="2B50030C" w14:textId="77777777" w:rsidR="00661F84" w:rsidRDefault="00661F84">
      <w:pPr>
        <w:spacing w:line="276" w:lineRule="auto"/>
        <w:jc w:val="both"/>
        <w:rPr>
          <w:color w:val="000000"/>
          <w:sz w:val="28"/>
          <w:szCs w:val="28"/>
        </w:rPr>
      </w:pPr>
    </w:p>
    <w:p w14:paraId="3791B3D5" w14:textId="77777777" w:rsidR="00661F84" w:rsidRDefault="003A2C26">
      <w:pPr>
        <w:spacing w:line="276" w:lineRule="auto"/>
        <w:ind w:firstLine="708"/>
        <w:jc w:val="both"/>
        <w:rPr>
          <w:sz w:val="28"/>
          <w:szCs w:val="28"/>
        </w:rPr>
      </w:pPr>
      <w:r>
        <w:rPr>
          <w:color w:val="000000"/>
          <w:sz w:val="28"/>
          <w:szCs w:val="28"/>
        </w:rPr>
        <w:t>La Diputación Provincial de Albacete asumirá la responsabilidad técnica de la seguridad física y lógica de los datos gestionados.</w:t>
      </w:r>
    </w:p>
    <w:p w14:paraId="6BACCF5D" w14:textId="77777777" w:rsidR="00661F84" w:rsidRDefault="00661F84">
      <w:pPr>
        <w:spacing w:line="276" w:lineRule="auto"/>
        <w:ind w:firstLine="708"/>
        <w:jc w:val="both"/>
        <w:rPr>
          <w:sz w:val="28"/>
          <w:szCs w:val="28"/>
        </w:rPr>
      </w:pPr>
    </w:p>
    <w:p w14:paraId="5F9C0C95" w14:textId="6DD81EC7" w:rsidR="00661F84" w:rsidRDefault="003A2C26">
      <w:pPr>
        <w:spacing w:line="276" w:lineRule="auto"/>
        <w:ind w:firstLine="708"/>
        <w:jc w:val="both"/>
        <w:rPr>
          <w:sz w:val="28"/>
          <w:szCs w:val="28"/>
        </w:rPr>
      </w:pPr>
      <w:r>
        <w:rPr>
          <w:color w:val="000000"/>
          <w:sz w:val="28"/>
          <w:szCs w:val="28"/>
        </w:rPr>
        <w:t>La interacción de aplicaciones mediante servicios web incorporar</w:t>
      </w:r>
      <w:r w:rsidR="00182072">
        <w:rPr>
          <w:color w:val="000000"/>
          <w:sz w:val="28"/>
          <w:szCs w:val="28"/>
        </w:rPr>
        <w:t>á</w:t>
      </w:r>
      <w:r>
        <w:rPr>
          <w:color w:val="000000"/>
          <w:sz w:val="28"/>
          <w:szCs w:val="28"/>
        </w:rPr>
        <w:t>n los requisitos de seguridad y trazabilidad que permitan garantizar un correcto y adecuado tratamiento de los datos.</w:t>
      </w:r>
    </w:p>
    <w:p w14:paraId="009B9C41" w14:textId="77777777" w:rsidR="00661F84" w:rsidRDefault="00661F84">
      <w:pPr>
        <w:spacing w:line="276" w:lineRule="auto"/>
        <w:ind w:firstLine="708"/>
        <w:jc w:val="both"/>
        <w:rPr>
          <w:sz w:val="28"/>
          <w:szCs w:val="28"/>
        </w:rPr>
      </w:pPr>
    </w:p>
    <w:p w14:paraId="6CC62135" w14:textId="2F3E7255" w:rsidR="00661F84" w:rsidRDefault="003A2C26">
      <w:pPr>
        <w:spacing w:line="276" w:lineRule="auto"/>
        <w:jc w:val="both"/>
        <w:rPr>
          <w:sz w:val="28"/>
          <w:szCs w:val="28"/>
        </w:rPr>
      </w:pPr>
      <w:r>
        <w:rPr>
          <w:color w:val="000000"/>
          <w:sz w:val="28"/>
          <w:szCs w:val="28"/>
        </w:rPr>
        <w:tab/>
        <w:t>La Diputación, a través de su Servicio de</w:t>
      </w:r>
      <w:r w:rsidR="00182072">
        <w:rPr>
          <w:color w:val="000000"/>
          <w:sz w:val="28"/>
          <w:szCs w:val="28"/>
        </w:rPr>
        <w:t xml:space="preserve"> </w:t>
      </w:r>
      <w:r>
        <w:rPr>
          <w:color w:val="000000"/>
          <w:sz w:val="28"/>
          <w:szCs w:val="28"/>
        </w:rPr>
        <w:t>Modernización Administrativa</w:t>
      </w:r>
      <w:r>
        <w:rPr>
          <w:rFonts w:cs="Arial"/>
          <w:color w:val="000000"/>
          <w:sz w:val="28"/>
          <w:szCs w:val="28"/>
        </w:rPr>
        <w:t xml:space="preserve"> y Tecnologías de la Información y la Comunicación, asumirá las funciones de encargado del tratamiento establecido en la legislación de protección de datos.</w:t>
      </w:r>
    </w:p>
    <w:p w14:paraId="07F4E5EB" w14:textId="77777777" w:rsidR="00661F84" w:rsidRDefault="00661F84">
      <w:pPr>
        <w:spacing w:line="276" w:lineRule="auto"/>
        <w:jc w:val="both"/>
        <w:rPr>
          <w:sz w:val="28"/>
          <w:szCs w:val="28"/>
        </w:rPr>
      </w:pPr>
    </w:p>
    <w:p w14:paraId="59252A88" w14:textId="77777777" w:rsidR="00661F84" w:rsidRDefault="003A2C26">
      <w:pPr>
        <w:pStyle w:val="Default"/>
        <w:spacing w:line="276" w:lineRule="auto"/>
        <w:ind w:firstLine="708"/>
        <w:jc w:val="both"/>
        <w:rPr>
          <w:rFonts w:ascii="Liberation Serif" w:hAnsi="Liberation Serif"/>
          <w:sz w:val="28"/>
          <w:szCs w:val="28"/>
        </w:rPr>
      </w:pPr>
      <w:r>
        <w:rPr>
          <w:rFonts w:ascii="Liberation Serif" w:hAnsi="Liberation Serif"/>
          <w:sz w:val="28"/>
          <w:szCs w:val="28"/>
        </w:rPr>
        <w:t xml:space="preserve">Durante la prestación del servicio, la </w:t>
      </w:r>
      <w:r>
        <w:rPr>
          <w:rFonts w:ascii="Liberation Serif" w:hAnsi="Liberation Serif"/>
          <w:sz w:val="28"/>
          <w:szCs w:val="28"/>
        </w:rPr>
        <w:t>Diputación garantizará la conservación de los datos del cesionario, en los mismos términos que los suyos propios, que se gestionan con la misma plataforma.</w:t>
      </w:r>
    </w:p>
    <w:p w14:paraId="01DD8C29" w14:textId="77777777" w:rsidR="00661F84" w:rsidRDefault="00661F84">
      <w:pPr>
        <w:pStyle w:val="Default"/>
        <w:spacing w:line="276" w:lineRule="auto"/>
        <w:ind w:firstLine="708"/>
        <w:jc w:val="both"/>
        <w:rPr>
          <w:rFonts w:ascii="Liberation Serif" w:hAnsi="Liberation Serif"/>
          <w:sz w:val="28"/>
          <w:szCs w:val="28"/>
        </w:rPr>
      </w:pPr>
    </w:p>
    <w:p w14:paraId="2B56B1D3" w14:textId="77777777" w:rsidR="00661F84" w:rsidRDefault="003A2C26">
      <w:pPr>
        <w:pStyle w:val="Default"/>
        <w:spacing w:line="276" w:lineRule="auto"/>
        <w:ind w:firstLine="708"/>
        <w:jc w:val="both"/>
        <w:rPr>
          <w:rFonts w:ascii="Liberation Serif" w:hAnsi="Liberation Serif"/>
          <w:sz w:val="28"/>
          <w:szCs w:val="28"/>
        </w:rPr>
      </w:pPr>
      <w:r>
        <w:rPr>
          <w:rFonts w:ascii="Liberation Serif" w:hAnsi="Liberation Serif"/>
          <w:sz w:val="28"/>
          <w:szCs w:val="28"/>
        </w:rPr>
        <w:t>Una vez concluido el convenio de disposición del servicio, todos los datos serán devueltos a la entidad responsable del tratamiento.</w:t>
      </w:r>
    </w:p>
    <w:p w14:paraId="37F0B695" w14:textId="77777777" w:rsidR="00661F84" w:rsidRDefault="00661F84">
      <w:pPr>
        <w:pStyle w:val="Default"/>
        <w:spacing w:line="276" w:lineRule="auto"/>
        <w:ind w:firstLine="708"/>
        <w:jc w:val="both"/>
        <w:rPr>
          <w:rFonts w:ascii="Liberation Serif" w:hAnsi="Liberation Serif"/>
          <w:sz w:val="28"/>
          <w:szCs w:val="28"/>
        </w:rPr>
      </w:pPr>
    </w:p>
    <w:p w14:paraId="28995530" w14:textId="77777777" w:rsidR="00661F84" w:rsidRDefault="003A2C26">
      <w:pPr>
        <w:pStyle w:val="Default"/>
        <w:spacing w:line="276" w:lineRule="auto"/>
        <w:ind w:firstLine="708"/>
        <w:jc w:val="both"/>
        <w:rPr>
          <w:rFonts w:ascii="Liberation Serif" w:hAnsi="Liberation Serif"/>
          <w:sz w:val="28"/>
          <w:szCs w:val="28"/>
        </w:rPr>
      </w:pPr>
      <w:r>
        <w:rPr>
          <w:rFonts w:ascii="Liberation Serif" w:hAnsi="Liberation Serif"/>
          <w:sz w:val="28"/>
          <w:szCs w:val="28"/>
        </w:rPr>
        <w:t>Los registros de trazabilidad de accesos y operaciones serán gestionados por la Diputación de Albacete y entregados a la entidad firmante una vez concluya el plazo de disponibilidad del servicio</w:t>
      </w:r>
    </w:p>
    <w:p w14:paraId="65242B24" w14:textId="77777777" w:rsidR="00661F84" w:rsidRDefault="00661F84">
      <w:pPr>
        <w:spacing w:line="276" w:lineRule="auto"/>
        <w:jc w:val="both"/>
        <w:rPr>
          <w:b/>
          <w:bCs/>
          <w:color w:val="000000"/>
          <w:sz w:val="28"/>
          <w:szCs w:val="28"/>
        </w:rPr>
      </w:pPr>
    </w:p>
    <w:p w14:paraId="37980063" w14:textId="77777777" w:rsidR="00661F84" w:rsidRDefault="003A2C26">
      <w:pPr>
        <w:spacing w:line="276" w:lineRule="auto"/>
        <w:jc w:val="both"/>
        <w:rPr>
          <w:sz w:val="28"/>
          <w:szCs w:val="28"/>
        </w:rPr>
      </w:pPr>
      <w:r>
        <w:rPr>
          <w:b/>
          <w:bCs/>
          <w:color w:val="000000"/>
          <w:sz w:val="28"/>
          <w:szCs w:val="28"/>
        </w:rPr>
        <w:t>Sexta. Amortización de las aplicaciones y distribución de costes</w:t>
      </w:r>
    </w:p>
    <w:p w14:paraId="5D53968D" w14:textId="77777777" w:rsidR="00661F84" w:rsidRDefault="00661F84">
      <w:pPr>
        <w:spacing w:line="276" w:lineRule="auto"/>
        <w:jc w:val="both"/>
        <w:rPr>
          <w:b/>
          <w:bCs/>
          <w:color w:val="000000"/>
          <w:sz w:val="28"/>
          <w:szCs w:val="28"/>
        </w:rPr>
      </w:pPr>
    </w:p>
    <w:p w14:paraId="7C31EF52" w14:textId="77777777" w:rsidR="00182072" w:rsidRDefault="003A2C26">
      <w:pPr>
        <w:spacing w:line="276" w:lineRule="auto"/>
        <w:jc w:val="both"/>
        <w:rPr>
          <w:color w:val="000000"/>
          <w:sz w:val="28"/>
          <w:szCs w:val="28"/>
        </w:rPr>
      </w:pPr>
      <w:r>
        <w:rPr>
          <w:color w:val="000000"/>
          <w:sz w:val="28"/>
          <w:szCs w:val="28"/>
        </w:rPr>
        <w:tab/>
        <w:t xml:space="preserve">De conformidad con la Guía para la prestación de aplicaciones en modo servicio (de abril de 2016) cualquier posible contraprestación económica asociada, lo será </w:t>
      </w:r>
    </w:p>
    <w:p w14:paraId="63424C3A" w14:textId="77777777" w:rsidR="00182072" w:rsidRDefault="00182072">
      <w:pPr>
        <w:spacing w:line="276" w:lineRule="auto"/>
        <w:jc w:val="both"/>
        <w:rPr>
          <w:color w:val="000000"/>
          <w:sz w:val="28"/>
          <w:szCs w:val="28"/>
        </w:rPr>
      </w:pPr>
    </w:p>
    <w:p w14:paraId="3BD91119" w14:textId="77777777" w:rsidR="00182072" w:rsidRDefault="00182072">
      <w:pPr>
        <w:spacing w:line="276" w:lineRule="auto"/>
        <w:jc w:val="both"/>
        <w:rPr>
          <w:color w:val="000000"/>
          <w:sz w:val="28"/>
          <w:szCs w:val="28"/>
        </w:rPr>
      </w:pPr>
    </w:p>
    <w:p w14:paraId="54FF2927" w14:textId="77777777" w:rsidR="00182072" w:rsidRDefault="00182072">
      <w:pPr>
        <w:spacing w:line="276" w:lineRule="auto"/>
        <w:jc w:val="both"/>
        <w:rPr>
          <w:color w:val="000000"/>
          <w:sz w:val="28"/>
          <w:szCs w:val="28"/>
        </w:rPr>
      </w:pPr>
    </w:p>
    <w:p w14:paraId="6AC38F17" w14:textId="1171C780" w:rsidR="00661F84" w:rsidRDefault="003A2C26">
      <w:pPr>
        <w:spacing w:line="276" w:lineRule="auto"/>
        <w:jc w:val="both"/>
        <w:rPr>
          <w:sz w:val="28"/>
          <w:szCs w:val="28"/>
        </w:rPr>
      </w:pPr>
      <w:r>
        <w:rPr>
          <w:color w:val="000000"/>
          <w:sz w:val="28"/>
          <w:szCs w:val="28"/>
        </w:rPr>
        <w:t>únicamente a efectos de repercutir el coste de la administración del servicio y nunca con fines de lucro.</w:t>
      </w:r>
    </w:p>
    <w:p w14:paraId="417D064B" w14:textId="5BDAAB16" w:rsidR="00661F84" w:rsidRDefault="00661F84">
      <w:pPr>
        <w:spacing w:line="276" w:lineRule="auto"/>
        <w:jc w:val="both"/>
        <w:rPr>
          <w:color w:val="000000"/>
          <w:sz w:val="28"/>
          <w:szCs w:val="28"/>
        </w:rPr>
      </w:pPr>
    </w:p>
    <w:p w14:paraId="74673499" w14:textId="562AA263" w:rsidR="00661F84" w:rsidRDefault="003A2C26">
      <w:pPr>
        <w:spacing w:line="276" w:lineRule="auto"/>
        <w:jc w:val="both"/>
        <w:rPr>
          <w:color w:val="000000"/>
          <w:sz w:val="28"/>
          <w:szCs w:val="28"/>
        </w:rPr>
      </w:pPr>
      <w:r>
        <w:rPr>
          <w:rFonts w:eastAsia="Calibri" w:cs="Calibri"/>
          <w:color w:val="000000"/>
          <w:sz w:val="28"/>
          <w:szCs w:val="28"/>
          <w:lang w:eastAsia="en-US"/>
        </w:rPr>
        <w:tab/>
        <w:t xml:space="preserve">De acuerdo con los criterios </w:t>
      </w:r>
      <w:r w:rsidR="00182072">
        <w:rPr>
          <w:rFonts w:eastAsia="Calibri" w:cs="Calibri"/>
          <w:color w:val="000000"/>
          <w:sz w:val="28"/>
          <w:szCs w:val="28"/>
          <w:lang w:eastAsia="en-US"/>
        </w:rPr>
        <w:t xml:space="preserve">de </w:t>
      </w:r>
      <w:r>
        <w:rPr>
          <w:rFonts w:eastAsia="Calibri" w:cs="Calibri"/>
          <w:color w:val="000000"/>
          <w:sz w:val="28"/>
          <w:szCs w:val="28"/>
          <w:lang w:eastAsia="en-US"/>
        </w:rPr>
        <w:t>la Orden HAP/2075/2014, de 6 de noviembre</w:t>
      </w:r>
      <w:r w:rsidR="00182072">
        <w:rPr>
          <w:rFonts w:eastAsia="Calibri" w:cs="Calibri"/>
          <w:color w:val="000000"/>
          <w:sz w:val="28"/>
          <w:szCs w:val="28"/>
          <w:lang w:eastAsia="en-US"/>
        </w:rPr>
        <w:t>,</w:t>
      </w:r>
      <w:r>
        <w:rPr>
          <w:rFonts w:eastAsia="Calibri" w:cs="Calibri"/>
          <w:color w:val="000000"/>
          <w:sz w:val="28"/>
          <w:szCs w:val="28"/>
          <w:lang w:eastAsia="en-US"/>
        </w:rPr>
        <w:t xml:space="preserve"> para determinar el coste efectivo de los servicios a partir del momento en que  el proyecto de inversión está plenamente en funcionamiento</w:t>
      </w:r>
      <w:r w:rsidR="00182072">
        <w:rPr>
          <w:rFonts w:eastAsia="Calibri" w:cs="Calibri"/>
          <w:color w:val="000000"/>
          <w:sz w:val="28"/>
          <w:szCs w:val="28"/>
          <w:lang w:eastAsia="en-US"/>
        </w:rPr>
        <w:t xml:space="preserve">, </w:t>
      </w:r>
      <w:r>
        <w:rPr>
          <w:rFonts w:eastAsia="Calibri" w:cs="Calibri"/>
          <w:color w:val="000000"/>
          <w:sz w:val="28"/>
          <w:szCs w:val="28"/>
          <w:lang w:eastAsia="en-US"/>
        </w:rPr>
        <w:t xml:space="preserve">debería distinguirse entre  los costes relativos a los gastos de desarrollo posteriores a la activación </w:t>
      </w:r>
      <w:r>
        <w:rPr>
          <w:rFonts w:eastAsia="Calibri" w:cs="Calibri"/>
          <w:color w:val="000000"/>
          <w:sz w:val="28"/>
          <w:szCs w:val="28"/>
          <w:lang w:eastAsia="en-US"/>
        </w:rPr>
        <w:t xml:space="preserve">vinculados a  ampliaciones y mejoras que deberán </w:t>
      </w:r>
      <w:r>
        <w:rPr>
          <w:color w:val="000000"/>
          <w:sz w:val="28"/>
          <w:szCs w:val="28"/>
        </w:rPr>
        <w:t xml:space="preserve"> </w:t>
      </w:r>
      <w:r>
        <w:rPr>
          <w:rFonts w:eastAsia="Calibri" w:cs="Calibri"/>
          <w:color w:val="000000"/>
          <w:sz w:val="28"/>
          <w:szCs w:val="28"/>
          <w:lang w:eastAsia="en-US"/>
        </w:rPr>
        <w:t>seguir considerándose activables, de aquellos otros costes de mantenimiento correctivo y evolutivo que ser</w:t>
      </w:r>
      <w:r w:rsidR="00182072">
        <w:rPr>
          <w:rFonts w:eastAsia="Calibri" w:cs="Calibri"/>
          <w:color w:val="000000"/>
          <w:sz w:val="28"/>
          <w:szCs w:val="28"/>
          <w:lang w:eastAsia="en-US"/>
        </w:rPr>
        <w:t>í</w:t>
      </w:r>
      <w:r>
        <w:rPr>
          <w:rFonts w:eastAsia="Calibri" w:cs="Calibri"/>
          <w:color w:val="000000"/>
          <w:sz w:val="28"/>
          <w:szCs w:val="28"/>
          <w:lang w:eastAsia="en-US"/>
        </w:rPr>
        <w:t>an imputables a cada ejercicio.</w:t>
      </w:r>
    </w:p>
    <w:p w14:paraId="3659CB1E" w14:textId="77777777" w:rsidR="00661F84" w:rsidRDefault="00661F84">
      <w:pPr>
        <w:spacing w:line="276" w:lineRule="auto"/>
        <w:jc w:val="both"/>
        <w:rPr>
          <w:rFonts w:eastAsia="Calibri" w:cs="Calibri"/>
          <w:color w:val="000000"/>
          <w:sz w:val="28"/>
          <w:szCs w:val="28"/>
          <w:lang w:eastAsia="en-US"/>
        </w:rPr>
      </w:pPr>
    </w:p>
    <w:p w14:paraId="2DD2095A" w14:textId="3CA4836F" w:rsidR="00661F84" w:rsidRDefault="003A2C26">
      <w:pPr>
        <w:spacing w:line="276" w:lineRule="auto"/>
        <w:jc w:val="both"/>
        <w:rPr>
          <w:color w:val="000000"/>
          <w:sz w:val="28"/>
          <w:szCs w:val="28"/>
        </w:rPr>
      </w:pPr>
      <w:r>
        <w:rPr>
          <w:rFonts w:eastAsia="Calibri" w:cs="Calibri"/>
          <w:color w:val="000000"/>
          <w:sz w:val="28"/>
          <w:szCs w:val="28"/>
          <w:lang w:eastAsia="en-US"/>
        </w:rPr>
        <w:tab/>
        <w:t>Respecto a la activación de inversiones de nuevas funcionalidades</w:t>
      </w:r>
      <w:r w:rsidR="00182072">
        <w:rPr>
          <w:rFonts w:eastAsia="Calibri" w:cs="Calibri"/>
          <w:color w:val="000000"/>
          <w:sz w:val="28"/>
          <w:szCs w:val="28"/>
          <w:lang w:eastAsia="en-US"/>
        </w:rPr>
        <w:t>,</w:t>
      </w:r>
      <w:r>
        <w:rPr>
          <w:rFonts w:eastAsia="Calibri" w:cs="Calibri"/>
          <w:color w:val="000000"/>
          <w:sz w:val="28"/>
          <w:szCs w:val="28"/>
          <w:lang w:eastAsia="en-US"/>
        </w:rPr>
        <w:t xml:space="preserve"> podrá establecerse un periodo de amortización no inferior a cinco años.</w:t>
      </w:r>
    </w:p>
    <w:p w14:paraId="6DBD9829" w14:textId="77777777" w:rsidR="00661F84" w:rsidRDefault="00661F84">
      <w:pPr>
        <w:pStyle w:val="LO-Normal1"/>
        <w:spacing w:line="276" w:lineRule="auto"/>
        <w:jc w:val="both"/>
        <w:rPr>
          <w:rFonts w:eastAsia="Calibri" w:cs="Calibri"/>
          <w:color w:val="000000"/>
          <w:sz w:val="28"/>
          <w:szCs w:val="28"/>
          <w:lang w:eastAsia="en-US"/>
        </w:rPr>
      </w:pPr>
    </w:p>
    <w:p w14:paraId="1D834E43" w14:textId="0E532081" w:rsidR="00661F84" w:rsidRDefault="003A2C26">
      <w:pPr>
        <w:pStyle w:val="LO-Normal1"/>
        <w:spacing w:line="276" w:lineRule="auto"/>
        <w:jc w:val="both"/>
        <w:rPr>
          <w:color w:val="000000"/>
          <w:sz w:val="28"/>
          <w:szCs w:val="28"/>
          <w:u w:val="single"/>
        </w:rPr>
      </w:pPr>
      <w:r>
        <w:rPr>
          <w:rFonts w:eastAsia="Calibri" w:cs="Calibri"/>
          <w:color w:val="000000"/>
          <w:sz w:val="28"/>
          <w:szCs w:val="28"/>
          <w:u w:val="single"/>
          <w:lang w:eastAsia="en-US"/>
        </w:rPr>
        <w:t xml:space="preserve">Costes de utilización </w:t>
      </w:r>
      <w:r>
        <w:rPr>
          <w:rFonts w:eastAsia="Calibri" w:cs="Calibri"/>
          <w:color w:val="000000"/>
          <w:sz w:val="28"/>
          <w:szCs w:val="28"/>
          <w:u w:val="single"/>
          <w:lang w:eastAsia="en-US"/>
        </w:rPr>
        <w:t>(CU)</w:t>
      </w:r>
    </w:p>
    <w:p w14:paraId="515E336F" w14:textId="77777777" w:rsidR="00661F84" w:rsidRDefault="00661F84">
      <w:pPr>
        <w:pStyle w:val="LO-Normal1"/>
        <w:spacing w:line="276" w:lineRule="auto"/>
        <w:jc w:val="both"/>
        <w:rPr>
          <w:rFonts w:eastAsia="Calibri" w:cs="Calibri"/>
          <w:color w:val="000000"/>
          <w:sz w:val="28"/>
          <w:szCs w:val="28"/>
          <w:lang w:eastAsia="en-US"/>
        </w:rPr>
      </w:pPr>
    </w:p>
    <w:p w14:paraId="25E81406" w14:textId="29FE103C" w:rsidR="00661F84" w:rsidRDefault="003A2C26">
      <w:pPr>
        <w:pStyle w:val="LO-Normal1"/>
        <w:spacing w:line="276" w:lineRule="auto"/>
        <w:jc w:val="both"/>
        <w:rPr>
          <w:rFonts w:eastAsia="Calibri" w:cs="Calibri"/>
          <w:color w:val="000000"/>
          <w:sz w:val="28"/>
          <w:szCs w:val="28"/>
          <w:lang w:eastAsia="en-US"/>
        </w:rPr>
      </w:pPr>
      <w:r>
        <w:rPr>
          <w:rFonts w:eastAsia="Calibri" w:cs="Calibri"/>
          <w:color w:val="000000"/>
          <w:sz w:val="28"/>
          <w:szCs w:val="28"/>
          <w:lang w:eastAsia="en-US"/>
        </w:rPr>
        <w:tab/>
      </w:r>
      <w:r>
        <w:rPr>
          <w:rFonts w:eastAsia="Calibri" w:cs="Calibri"/>
          <w:color w:val="000000"/>
          <w:sz w:val="28"/>
          <w:szCs w:val="28"/>
          <w:lang w:eastAsia="en-US"/>
        </w:rPr>
        <w:t>1.- El importe de la anualidad de amortización por el per</w:t>
      </w:r>
      <w:r w:rsidR="00182072">
        <w:rPr>
          <w:rFonts w:eastAsia="Calibri" w:cs="Calibri"/>
          <w:color w:val="000000"/>
          <w:sz w:val="28"/>
          <w:szCs w:val="28"/>
          <w:lang w:eastAsia="en-US"/>
        </w:rPr>
        <w:t>í</w:t>
      </w:r>
      <w:r>
        <w:rPr>
          <w:rFonts w:eastAsia="Calibri" w:cs="Calibri"/>
          <w:color w:val="000000"/>
          <w:sz w:val="28"/>
          <w:szCs w:val="28"/>
          <w:lang w:eastAsia="en-US"/>
        </w:rPr>
        <w:t>odo que se determine no inferior a cinco años (N) del total de los  gastos  que correspondan a ampliaciones y mejoras activados en los ejercicios del periodo n-N  a  n-1</w:t>
      </w:r>
      <w:r w:rsidR="00182072">
        <w:rPr>
          <w:rFonts w:eastAsia="Calibri" w:cs="Calibri"/>
          <w:color w:val="000000"/>
          <w:sz w:val="28"/>
          <w:szCs w:val="28"/>
          <w:lang w:eastAsia="en-US"/>
        </w:rPr>
        <w:t xml:space="preserve">. </w:t>
      </w:r>
    </w:p>
    <w:p w14:paraId="6988C834" w14:textId="77777777" w:rsidR="00182072" w:rsidRDefault="00182072">
      <w:pPr>
        <w:pStyle w:val="LO-Normal1"/>
        <w:spacing w:line="276" w:lineRule="auto"/>
        <w:jc w:val="both"/>
        <w:rPr>
          <w:color w:val="000000"/>
          <w:sz w:val="28"/>
          <w:szCs w:val="28"/>
        </w:rPr>
      </w:pPr>
    </w:p>
    <w:p w14:paraId="5354F6D5" w14:textId="155A8D96"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ab/>
        <w:t xml:space="preserve">2.- El importe </w:t>
      </w:r>
      <w:r>
        <w:rPr>
          <w:rFonts w:eastAsia="Calibri" w:cs="Calibri"/>
          <w:color w:val="000000"/>
          <w:sz w:val="28"/>
          <w:szCs w:val="28"/>
          <w:lang w:eastAsia="en-US"/>
        </w:rPr>
        <w:t xml:space="preserve">de los costes </w:t>
      </w:r>
      <w:r>
        <w:rPr>
          <w:rFonts w:eastAsia="Calibri" w:cs="Calibri"/>
          <w:color w:val="000000"/>
          <w:sz w:val="28"/>
          <w:szCs w:val="28"/>
          <w:lang w:eastAsia="en-US"/>
        </w:rPr>
        <w:t>imputables a las tareas de  mantenimiento correctivo, evolutivo,  formación y asistencia  que se hubieran incurrido en el ejercicio n-1</w:t>
      </w:r>
      <w:r w:rsidR="00182072">
        <w:rPr>
          <w:rFonts w:eastAsia="Calibri" w:cs="Calibri"/>
          <w:color w:val="000000"/>
          <w:sz w:val="28"/>
          <w:szCs w:val="28"/>
          <w:lang w:eastAsia="en-US"/>
        </w:rPr>
        <w:t xml:space="preserve">. </w:t>
      </w:r>
    </w:p>
    <w:p w14:paraId="7D8E1C3F" w14:textId="77777777" w:rsidR="00661F84" w:rsidRDefault="00661F84">
      <w:pPr>
        <w:pStyle w:val="LO-Normal1"/>
        <w:spacing w:line="276" w:lineRule="auto"/>
        <w:jc w:val="both"/>
        <w:rPr>
          <w:rFonts w:eastAsia="Calibri" w:cs="Calibri"/>
          <w:color w:val="000000"/>
          <w:sz w:val="28"/>
          <w:szCs w:val="28"/>
          <w:lang w:eastAsia="en-US"/>
        </w:rPr>
      </w:pPr>
    </w:p>
    <w:p w14:paraId="4FDE990B" w14:textId="641EC23B"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ab/>
        <w:t>En ambos casos</w:t>
      </w:r>
      <w:r w:rsidR="00182072">
        <w:rPr>
          <w:rFonts w:eastAsia="Calibri" w:cs="Calibri"/>
          <w:color w:val="000000"/>
          <w:sz w:val="28"/>
          <w:szCs w:val="28"/>
          <w:lang w:eastAsia="en-US"/>
        </w:rPr>
        <w:t>,</w:t>
      </w:r>
      <w:r>
        <w:rPr>
          <w:rFonts w:eastAsia="Calibri" w:cs="Calibri"/>
          <w:color w:val="000000"/>
          <w:sz w:val="28"/>
          <w:szCs w:val="28"/>
          <w:lang w:eastAsia="en-US"/>
        </w:rPr>
        <w:t xml:space="preserve"> </w:t>
      </w:r>
      <w:r>
        <w:rPr>
          <w:rFonts w:eastAsia="Calibri" w:cs="Calibri"/>
          <w:color w:val="000000"/>
          <w:sz w:val="28"/>
          <w:szCs w:val="28"/>
          <w:lang w:eastAsia="en-US"/>
        </w:rPr>
        <w:t>se incorporarán  los gastos directos de personal involucrado en el proyecto total o parcialmente</w:t>
      </w:r>
      <w:r w:rsidR="00182072">
        <w:rPr>
          <w:rFonts w:eastAsia="Calibri" w:cs="Calibri"/>
          <w:color w:val="000000"/>
          <w:sz w:val="28"/>
          <w:szCs w:val="28"/>
          <w:lang w:eastAsia="en-US"/>
        </w:rPr>
        <w:t xml:space="preserve">, </w:t>
      </w:r>
      <w:r>
        <w:rPr>
          <w:rFonts w:eastAsia="Calibri" w:cs="Calibri"/>
          <w:color w:val="000000"/>
          <w:sz w:val="28"/>
          <w:szCs w:val="28"/>
          <w:lang w:eastAsia="en-US"/>
        </w:rPr>
        <w:t xml:space="preserve">los  del Capítulo 2 del Servicio de Modernización Administrativa y TIC, los gastos de amortización de inversiones </w:t>
      </w:r>
      <w:r>
        <w:rPr>
          <w:rFonts w:eastAsia="Calibri" w:cs="Calibri"/>
          <w:color w:val="000000"/>
          <w:sz w:val="28"/>
          <w:szCs w:val="28"/>
          <w:lang w:eastAsia="en-US"/>
        </w:rPr>
        <w:t>utilizadas en el desarrollo</w:t>
      </w:r>
      <w:r w:rsidR="00182072">
        <w:rPr>
          <w:rFonts w:eastAsia="Calibri" w:cs="Calibri"/>
          <w:color w:val="000000"/>
          <w:sz w:val="28"/>
          <w:szCs w:val="28"/>
          <w:lang w:eastAsia="en-US"/>
        </w:rPr>
        <w:t>,</w:t>
      </w:r>
      <w:r>
        <w:rPr>
          <w:rFonts w:eastAsia="Calibri" w:cs="Calibri"/>
          <w:color w:val="000000"/>
          <w:sz w:val="28"/>
          <w:szCs w:val="28"/>
          <w:lang w:eastAsia="en-US"/>
        </w:rPr>
        <w:t xml:space="preserve"> así como la imputación de los costes  de los servicios auxiliares, referidos  tanto a los directos como indirectos, relativos a gastos de personal (capítulo 1) y compras de bienes corrientes y servicios (capítulo 2)</w:t>
      </w:r>
      <w:r w:rsidR="00182072">
        <w:rPr>
          <w:rFonts w:eastAsia="Calibri" w:cs="Calibri"/>
          <w:color w:val="000000"/>
          <w:sz w:val="28"/>
          <w:szCs w:val="28"/>
          <w:lang w:eastAsia="en-US"/>
        </w:rPr>
        <w:t>,</w:t>
      </w:r>
      <w:r>
        <w:rPr>
          <w:rFonts w:eastAsia="Calibri" w:cs="Calibri"/>
          <w:color w:val="000000"/>
          <w:sz w:val="28"/>
          <w:szCs w:val="28"/>
          <w:lang w:eastAsia="en-US"/>
        </w:rPr>
        <w:t xml:space="preserve"> de acuerdo con los criterios de imputación que aplica </w:t>
      </w:r>
      <w:r>
        <w:rPr>
          <w:rFonts w:eastAsia="Calibri" w:cs="Calibri"/>
          <w:color w:val="000000"/>
          <w:sz w:val="28"/>
          <w:szCs w:val="28"/>
          <w:lang w:eastAsia="en-US"/>
        </w:rPr>
        <w:t>la Diputación de Albacete en los cálculos para determinar el coste efectivo de los servicios.</w:t>
      </w:r>
    </w:p>
    <w:p w14:paraId="29A21416" w14:textId="77777777" w:rsidR="00661F84" w:rsidRDefault="00661F84">
      <w:pPr>
        <w:pStyle w:val="LO-Normal1"/>
        <w:spacing w:line="276" w:lineRule="auto"/>
        <w:jc w:val="both"/>
        <w:rPr>
          <w:rFonts w:eastAsia="Calibri" w:cs="Calibri"/>
          <w:color w:val="000000"/>
          <w:sz w:val="28"/>
          <w:szCs w:val="28"/>
          <w:lang w:eastAsia="en-US"/>
        </w:rPr>
      </w:pPr>
    </w:p>
    <w:p w14:paraId="49E968B5" w14:textId="77777777" w:rsidR="00661F84" w:rsidRDefault="00661F84">
      <w:pPr>
        <w:pStyle w:val="LO-Normal1"/>
        <w:spacing w:line="276" w:lineRule="auto"/>
        <w:jc w:val="both"/>
        <w:rPr>
          <w:rFonts w:eastAsia="Calibri" w:cs="Calibri"/>
          <w:color w:val="000000"/>
          <w:sz w:val="28"/>
          <w:szCs w:val="28"/>
          <w:u w:val="single"/>
          <w:lang w:eastAsia="en-US"/>
        </w:rPr>
      </w:pPr>
    </w:p>
    <w:p w14:paraId="3A5CA591" w14:textId="77777777" w:rsidR="00182072" w:rsidRDefault="00182072">
      <w:pPr>
        <w:pStyle w:val="LO-Normal1"/>
        <w:spacing w:line="276" w:lineRule="auto"/>
        <w:jc w:val="both"/>
        <w:rPr>
          <w:rFonts w:eastAsia="Calibri" w:cs="Calibri"/>
          <w:color w:val="000000"/>
          <w:sz w:val="28"/>
          <w:szCs w:val="28"/>
          <w:u w:val="single"/>
          <w:lang w:eastAsia="en-US"/>
        </w:rPr>
      </w:pPr>
    </w:p>
    <w:p w14:paraId="1A62C3FE" w14:textId="0B0E3039" w:rsidR="00661F84" w:rsidRDefault="003A2C26">
      <w:pPr>
        <w:pStyle w:val="LO-Normal1"/>
        <w:spacing w:line="276" w:lineRule="auto"/>
        <w:jc w:val="both"/>
        <w:rPr>
          <w:rFonts w:eastAsia="Calibri" w:cs="Calibri"/>
          <w:color w:val="000000"/>
          <w:sz w:val="28"/>
          <w:szCs w:val="28"/>
          <w:u w:val="single"/>
          <w:lang w:eastAsia="en-US"/>
        </w:rPr>
      </w:pPr>
      <w:r>
        <w:rPr>
          <w:rFonts w:eastAsia="Calibri" w:cs="Calibri"/>
          <w:color w:val="000000"/>
          <w:sz w:val="28"/>
          <w:szCs w:val="28"/>
          <w:u w:val="single"/>
          <w:lang w:eastAsia="en-US"/>
        </w:rPr>
        <w:t>Coste de almacenamiento (CA)</w:t>
      </w:r>
    </w:p>
    <w:p w14:paraId="5A05B1C0" w14:textId="77777777" w:rsidR="00661F84" w:rsidRDefault="003A2C26">
      <w:pPr>
        <w:pStyle w:val="LO-Normal1"/>
        <w:spacing w:line="276" w:lineRule="auto"/>
        <w:jc w:val="both"/>
        <w:rPr>
          <w:rFonts w:eastAsia="Calibri" w:cs="Calibri"/>
          <w:color w:val="000000"/>
          <w:sz w:val="28"/>
          <w:szCs w:val="28"/>
          <w:lang w:eastAsia="en-US"/>
        </w:rPr>
      </w:pPr>
      <w:r>
        <w:rPr>
          <w:rFonts w:eastAsia="Calibri" w:cs="Calibri"/>
          <w:color w:val="000000"/>
          <w:sz w:val="28"/>
          <w:szCs w:val="28"/>
          <w:lang w:eastAsia="en-US"/>
        </w:rPr>
        <w:tab/>
      </w:r>
    </w:p>
    <w:p w14:paraId="278101B8" w14:textId="2B865334"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ab/>
        <w:t xml:space="preserve">El modelo de disponibilidad en modo servicio incorporará </w:t>
      </w:r>
      <w:r>
        <w:rPr>
          <w:rFonts w:eastAsia="Calibri" w:cs="Calibri"/>
          <w:color w:val="000000"/>
          <w:sz w:val="28"/>
          <w:szCs w:val="28"/>
          <w:lang w:eastAsia="en-US"/>
        </w:rPr>
        <w:t>el coste derivado del almacenamiento y seguridad de la información</w:t>
      </w:r>
      <w:r w:rsidR="00182072">
        <w:rPr>
          <w:rFonts w:eastAsia="Calibri" w:cs="Calibri"/>
          <w:color w:val="000000"/>
          <w:sz w:val="28"/>
          <w:szCs w:val="28"/>
          <w:lang w:eastAsia="en-US"/>
        </w:rPr>
        <w:t>,</w:t>
      </w:r>
      <w:r>
        <w:rPr>
          <w:rFonts w:eastAsia="Calibri" w:cs="Calibri"/>
          <w:color w:val="000000"/>
          <w:sz w:val="28"/>
          <w:szCs w:val="28"/>
          <w:lang w:eastAsia="en-US"/>
        </w:rPr>
        <w:t xml:space="preserve"> de modo que quede garantizada la disponibilidad y seguridad de los datos y </w:t>
      </w:r>
      <w:r>
        <w:rPr>
          <w:rFonts w:eastAsia="Calibri" w:cs="Calibri"/>
          <w:color w:val="000000"/>
          <w:sz w:val="28"/>
          <w:szCs w:val="28"/>
          <w:lang w:eastAsia="en-US"/>
        </w:rPr>
        <w:t xml:space="preserve">herramientas de procesamiento,  calculándose por la adición de los siguientes </w:t>
      </w:r>
      <w:r>
        <w:rPr>
          <w:rFonts w:eastAsia="Calibri" w:cs="Calibri"/>
          <w:color w:val="000000"/>
          <w:sz w:val="28"/>
          <w:szCs w:val="28"/>
          <w:lang w:eastAsia="en-US"/>
        </w:rPr>
        <w:t>componentes:</w:t>
      </w:r>
    </w:p>
    <w:p w14:paraId="1B2BCA0F" w14:textId="77777777" w:rsidR="00661F84" w:rsidRDefault="00661F84">
      <w:pPr>
        <w:pStyle w:val="LO-Normal1"/>
        <w:spacing w:line="276" w:lineRule="auto"/>
        <w:jc w:val="both"/>
        <w:rPr>
          <w:rFonts w:eastAsia="Calibri" w:cs="Calibri"/>
          <w:color w:val="000000"/>
          <w:sz w:val="28"/>
          <w:szCs w:val="28"/>
          <w:lang w:eastAsia="en-US"/>
        </w:rPr>
      </w:pPr>
    </w:p>
    <w:p w14:paraId="79F36F99" w14:textId="77777777"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 xml:space="preserve"> </w:t>
      </w:r>
      <w:r>
        <w:rPr>
          <w:rFonts w:eastAsia="Calibri" w:cs="Calibri"/>
          <w:color w:val="000000"/>
          <w:sz w:val="28"/>
          <w:szCs w:val="28"/>
          <w:lang w:eastAsia="en-US"/>
        </w:rPr>
        <w:tab/>
        <w:t>La imputación del coste de personal dedicado a los procesos de administración y seguridad, los costes directos del capítulo 2 vinculados al centro de seguridad y respaldo exterior en el Parque Tecnológico de Albacete y la imputación de costes directos e indirectos en los términos establecidos en la Orden HAP/2075/2014, de 6 de noviembre, referidos al ejercicio n-1, incluyendo el importe de la anualidad de amortización del total de las inversiones en equipamiento de procesamiento y almacenamiento adquiridas</w:t>
      </w:r>
      <w:r>
        <w:rPr>
          <w:rFonts w:eastAsia="Calibri" w:cs="Calibri"/>
          <w:color w:val="000000"/>
          <w:sz w:val="28"/>
          <w:szCs w:val="28"/>
          <w:lang w:eastAsia="en-US"/>
        </w:rPr>
        <w:t xml:space="preserve">  para dar soporte a la Plataforma Sedipualba .</w:t>
      </w:r>
    </w:p>
    <w:p w14:paraId="0B0D2BBC" w14:textId="77777777" w:rsidR="00661F84" w:rsidRDefault="00661F84">
      <w:pPr>
        <w:pStyle w:val="LO-Normal1"/>
        <w:spacing w:line="276" w:lineRule="auto"/>
        <w:jc w:val="both"/>
        <w:rPr>
          <w:rFonts w:eastAsia="Calibri" w:cs="Calibri"/>
          <w:color w:val="000000"/>
          <w:sz w:val="28"/>
          <w:szCs w:val="28"/>
          <w:lang w:eastAsia="en-US"/>
        </w:rPr>
      </w:pPr>
    </w:p>
    <w:p w14:paraId="1353752F" w14:textId="42C552F7" w:rsidR="00661F84" w:rsidRDefault="003A2C26">
      <w:pPr>
        <w:pStyle w:val="LO-Normal1"/>
        <w:spacing w:line="276" w:lineRule="auto"/>
        <w:jc w:val="both"/>
        <w:rPr>
          <w:rFonts w:eastAsia="Calibri" w:cs="Calibri"/>
          <w:color w:val="000000"/>
          <w:sz w:val="28"/>
          <w:szCs w:val="28"/>
          <w:lang w:eastAsia="en-US"/>
        </w:rPr>
      </w:pPr>
      <w:r>
        <w:rPr>
          <w:rFonts w:eastAsia="Calibri" w:cs="Calibri"/>
          <w:color w:val="000000"/>
          <w:sz w:val="28"/>
          <w:szCs w:val="28"/>
          <w:lang w:eastAsia="en-US"/>
        </w:rPr>
        <w:tab/>
        <w:t xml:space="preserve">El total del Coste del almacenamiento </w:t>
      </w:r>
      <w:r>
        <w:rPr>
          <w:rFonts w:eastAsia="Calibri" w:cs="Calibri"/>
          <w:color w:val="000000"/>
          <w:sz w:val="28"/>
          <w:szCs w:val="28"/>
          <w:lang w:eastAsia="en-US"/>
        </w:rPr>
        <w:t xml:space="preserve">(CTA) se </w:t>
      </w:r>
      <w:r>
        <w:rPr>
          <w:rFonts w:eastAsia="Calibri" w:cs="Calibri"/>
          <w:color w:val="000000"/>
          <w:sz w:val="28"/>
          <w:szCs w:val="28"/>
          <w:lang w:eastAsia="en-US"/>
        </w:rPr>
        <w:t xml:space="preserve">distribuirá proporcionalmente al almacenamiento usado (CAU) </w:t>
      </w:r>
      <w:r>
        <w:rPr>
          <w:rFonts w:eastAsia="Calibri" w:cs="Calibri"/>
          <w:color w:val="000000"/>
          <w:sz w:val="28"/>
          <w:szCs w:val="28"/>
          <w:lang w:eastAsia="en-US"/>
        </w:rPr>
        <w:t>y al no usado (CANU).</w:t>
      </w:r>
    </w:p>
    <w:p w14:paraId="03C35429" w14:textId="77777777" w:rsidR="00661F84" w:rsidRDefault="00661F84">
      <w:pPr>
        <w:pStyle w:val="LO-Normal1"/>
        <w:spacing w:line="276" w:lineRule="auto"/>
        <w:jc w:val="both"/>
        <w:rPr>
          <w:rFonts w:eastAsia="Calibri" w:cs="Calibri"/>
          <w:color w:val="000000"/>
          <w:sz w:val="28"/>
          <w:szCs w:val="28"/>
          <w:lang w:eastAsia="en-US"/>
        </w:rPr>
      </w:pPr>
    </w:p>
    <w:p w14:paraId="77805254" w14:textId="77777777" w:rsidR="00661F84" w:rsidRDefault="00661F84">
      <w:pPr>
        <w:pStyle w:val="LO-Normal1"/>
        <w:spacing w:line="276" w:lineRule="auto"/>
        <w:jc w:val="both"/>
        <w:rPr>
          <w:rFonts w:eastAsia="Calibri" w:cs="Calibri"/>
          <w:color w:val="000000"/>
          <w:sz w:val="28"/>
          <w:szCs w:val="28"/>
          <w:u w:val="single"/>
          <w:lang w:eastAsia="en-US"/>
        </w:rPr>
      </w:pPr>
    </w:p>
    <w:p w14:paraId="10E34B84" w14:textId="77777777" w:rsidR="00661F84" w:rsidRDefault="003A2C26">
      <w:pPr>
        <w:pStyle w:val="LO-Normal1"/>
        <w:spacing w:line="276" w:lineRule="auto"/>
        <w:jc w:val="both"/>
        <w:rPr>
          <w:color w:val="000000"/>
          <w:sz w:val="28"/>
          <w:szCs w:val="28"/>
          <w:u w:val="single"/>
        </w:rPr>
      </w:pPr>
      <w:r>
        <w:rPr>
          <w:rFonts w:eastAsia="Calibri" w:cs="Calibri"/>
          <w:color w:val="000000"/>
          <w:sz w:val="28"/>
          <w:szCs w:val="28"/>
          <w:u w:val="single"/>
          <w:lang w:eastAsia="en-US"/>
        </w:rPr>
        <w:t xml:space="preserve">Costes por servicios adicionales </w:t>
      </w:r>
    </w:p>
    <w:p w14:paraId="7AD4C91D" w14:textId="77777777" w:rsidR="00661F84" w:rsidRDefault="00661F84">
      <w:pPr>
        <w:pStyle w:val="LO-Normal1"/>
        <w:spacing w:line="276" w:lineRule="auto"/>
        <w:jc w:val="both"/>
        <w:rPr>
          <w:rFonts w:eastAsia="Calibri" w:cs="Calibri"/>
          <w:color w:val="000000"/>
          <w:sz w:val="28"/>
          <w:szCs w:val="28"/>
          <w:lang w:eastAsia="en-US"/>
        </w:rPr>
      </w:pPr>
    </w:p>
    <w:p w14:paraId="50344649" w14:textId="2988949A" w:rsidR="00661F84" w:rsidRDefault="003A2C26">
      <w:pPr>
        <w:spacing w:line="276" w:lineRule="auto"/>
        <w:jc w:val="both"/>
      </w:pPr>
      <w:r>
        <w:rPr>
          <w:rFonts w:eastAsia="Calibri" w:cs="Calibri"/>
          <w:color w:val="000000"/>
          <w:sz w:val="28"/>
          <w:szCs w:val="28"/>
          <w:lang w:eastAsia="en-US"/>
        </w:rPr>
        <w:tab/>
        <w:t>Ocasionalmente</w:t>
      </w:r>
      <w:r w:rsidR="00182072">
        <w:rPr>
          <w:rFonts w:eastAsia="Calibri" w:cs="Calibri"/>
          <w:color w:val="000000"/>
          <w:sz w:val="28"/>
          <w:szCs w:val="28"/>
          <w:lang w:eastAsia="en-US"/>
        </w:rPr>
        <w:t>,</w:t>
      </w:r>
      <w:r>
        <w:rPr>
          <w:rFonts w:eastAsia="Calibri" w:cs="Calibri"/>
          <w:color w:val="000000"/>
          <w:sz w:val="28"/>
          <w:szCs w:val="28"/>
          <w:lang w:eastAsia="en-US"/>
        </w:rPr>
        <w:t xml:space="preserve"> </w:t>
      </w:r>
      <w:r>
        <w:rPr>
          <w:rFonts w:eastAsia="Calibri" w:cs="Calibri"/>
          <w:color w:val="000000"/>
          <w:sz w:val="28"/>
          <w:szCs w:val="28"/>
          <w:lang w:eastAsia="en-US"/>
        </w:rPr>
        <w:t>la utilización de la Plataforma por algunas entidades puede suponer la existencia de costes singulares y puntuales derivados de operaciones vinculadas a procesos de configuración, carga o transformación de soportes de información que serían imputados directamente a las entidades afectadas, calculados sobre la base de las horas de dedicación del personal técnico, según los costes de personal determinados por grupos homogéneos en la liquidación del Presupuesto</w:t>
      </w:r>
    </w:p>
    <w:p w14:paraId="007935F7" w14:textId="77777777" w:rsidR="00661F84" w:rsidRDefault="00661F84">
      <w:pPr>
        <w:spacing w:line="276" w:lineRule="auto"/>
        <w:jc w:val="both"/>
        <w:rPr>
          <w:b/>
          <w:color w:val="000000"/>
          <w:sz w:val="28"/>
          <w:szCs w:val="28"/>
        </w:rPr>
      </w:pPr>
    </w:p>
    <w:p w14:paraId="4517F73B" w14:textId="77777777" w:rsidR="00661F84" w:rsidRDefault="00661F84">
      <w:pPr>
        <w:pStyle w:val="LO-Normal1"/>
        <w:spacing w:line="276" w:lineRule="auto"/>
        <w:jc w:val="both"/>
        <w:rPr>
          <w:b/>
          <w:color w:val="000000"/>
          <w:sz w:val="28"/>
          <w:szCs w:val="28"/>
        </w:rPr>
      </w:pPr>
    </w:p>
    <w:p w14:paraId="43747C9C" w14:textId="126A22EC" w:rsidR="00661F84" w:rsidRDefault="003A2C26">
      <w:pPr>
        <w:pStyle w:val="LO-Normal1"/>
        <w:spacing w:line="276" w:lineRule="auto"/>
        <w:jc w:val="both"/>
        <w:rPr>
          <w:b/>
          <w:color w:val="000000"/>
          <w:sz w:val="28"/>
          <w:szCs w:val="28"/>
        </w:rPr>
      </w:pPr>
      <w:r>
        <w:rPr>
          <w:b/>
          <w:color w:val="000000"/>
          <w:sz w:val="28"/>
          <w:szCs w:val="28"/>
        </w:rPr>
        <w:t>Séptima</w:t>
      </w:r>
      <w:r w:rsidR="00246A57">
        <w:rPr>
          <w:b/>
          <w:color w:val="000000"/>
          <w:sz w:val="28"/>
          <w:szCs w:val="28"/>
        </w:rPr>
        <w:t xml:space="preserve">. </w:t>
      </w:r>
      <w:r>
        <w:rPr>
          <w:b/>
          <w:color w:val="000000"/>
          <w:sz w:val="28"/>
          <w:szCs w:val="28"/>
        </w:rPr>
        <w:t>Criterios de distribución de costes</w:t>
      </w:r>
    </w:p>
    <w:p w14:paraId="66DD3A5F" w14:textId="77777777" w:rsidR="00661F84" w:rsidRDefault="00661F84">
      <w:pPr>
        <w:pStyle w:val="LO-Normal1"/>
        <w:spacing w:line="276" w:lineRule="auto"/>
        <w:jc w:val="both"/>
        <w:rPr>
          <w:b/>
          <w:color w:val="000000"/>
          <w:sz w:val="28"/>
          <w:szCs w:val="28"/>
        </w:rPr>
      </w:pPr>
    </w:p>
    <w:p w14:paraId="50153636" w14:textId="4BDECF88"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 xml:space="preserve">Siguiendo las recomendaciones </w:t>
      </w:r>
      <w:r>
        <w:rPr>
          <w:rFonts w:eastAsia="Calibri" w:cs="Calibri"/>
          <w:color w:val="000000"/>
          <w:sz w:val="28"/>
          <w:szCs w:val="28"/>
          <w:lang w:eastAsia="en-US"/>
        </w:rPr>
        <w:t>de la “Guía para la prestación de aplicaciones en modo servicio”</w:t>
      </w:r>
      <w:r>
        <w:rPr>
          <w:rFonts w:eastAsia="Calibri" w:cs="Calibri"/>
          <w:color w:val="000000"/>
          <w:sz w:val="28"/>
          <w:szCs w:val="28"/>
          <w:lang w:eastAsia="en-US"/>
        </w:rPr>
        <w:t>se utilizarán como métricas el número de usuarios y el volumen de almacenamiento de acuerdo con los siguientes criterios:</w:t>
      </w:r>
    </w:p>
    <w:p w14:paraId="58CD9E71" w14:textId="77777777" w:rsidR="00661F84" w:rsidRDefault="00661F84">
      <w:pPr>
        <w:pStyle w:val="LO-Normal1"/>
        <w:spacing w:line="276" w:lineRule="auto"/>
        <w:jc w:val="both"/>
        <w:rPr>
          <w:rFonts w:eastAsia="Calibri" w:cs="Calibri"/>
          <w:sz w:val="28"/>
          <w:szCs w:val="28"/>
          <w:lang w:eastAsia="en-US"/>
        </w:rPr>
      </w:pPr>
    </w:p>
    <w:p w14:paraId="6344334F" w14:textId="3DCC6E65"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 xml:space="preserve">a) </w:t>
      </w:r>
      <w:r>
        <w:rPr>
          <w:rFonts w:eastAsia="Calibri" w:cs="Calibri"/>
          <w:color w:val="000000"/>
          <w:sz w:val="28"/>
          <w:szCs w:val="28"/>
          <w:u w:val="single"/>
          <w:lang w:eastAsia="en-US"/>
        </w:rPr>
        <w:t xml:space="preserve">Costes de utilización para el ejercicio </w:t>
      </w:r>
      <w:r>
        <w:rPr>
          <w:rFonts w:eastAsia="Calibri" w:cs="Calibri"/>
          <w:color w:val="000000"/>
          <w:sz w:val="28"/>
          <w:szCs w:val="28"/>
          <w:u w:val="single"/>
          <w:lang w:eastAsia="en-US"/>
        </w:rPr>
        <w:t>n</w:t>
      </w:r>
    </w:p>
    <w:p w14:paraId="4A714ADF" w14:textId="77777777" w:rsidR="00661F84" w:rsidRDefault="00661F84">
      <w:pPr>
        <w:pStyle w:val="LO-Normal1"/>
        <w:spacing w:line="276" w:lineRule="auto"/>
        <w:jc w:val="both"/>
        <w:rPr>
          <w:rFonts w:eastAsia="Calibri" w:cs="Calibri"/>
          <w:sz w:val="28"/>
          <w:szCs w:val="28"/>
          <w:u w:val="single"/>
          <w:lang w:eastAsia="en-US"/>
        </w:rPr>
      </w:pPr>
    </w:p>
    <w:p w14:paraId="4F6DF5AF" w14:textId="313757DF" w:rsidR="00661F84" w:rsidRPr="00246A57" w:rsidRDefault="003A2C26">
      <w:pPr>
        <w:pStyle w:val="LO-Normal1"/>
        <w:spacing w:line="276" w:lineRule="auto"/>
        <w:jc w:val="both"/>
        <w:rPr>
          <w:color w:val="000000"/>
          <w:sz w:val="28"/>
          <w:szCs w:val="28"/>
        </w:rPr>
      </w:pPr>
      <w:r>
        <w:rPr>
          <w:rFonts w:eastAsia="Calibri" w:cs="Calibri"/>
          <w:color w:val="000000"/>
          <w:sz w:val="28"/>
          <w:szCs w:val="28"/>
          <w:lang w:eastAsia="en-US"/>
        </w:rPr>
        <w:t xml:space="preserve">Distribución </w:t>
      </w:r>
      <w:r>
        <w:rPr>
          <w:rFonts w:eastAsia="Calibri" w:cs="Calibri"/>
          <w:color w:val="000000"/>
          <w:sz w:val="28"/>
          <w:szCs w:val="28"/>
          <w:lang w:eastAsia="en-US"/>
        </w:rPr>
        <w:t xml:space="preserve">de la totalidad de costes derivados de la liquidación del presupuesto del ejercicio n-1 dividido por el número de usuarios equivalentes a 31 de </w:t>
      </w:r>
      <w:r>
        <w:rPr>
          <w:rFonts w:eastAsia="Calibri" w:cs="Calibri"/>
          <w:color w:val="000000"/>
          <w:sz w:val="28"/>
          <w:szCs w:val="28"/>
          <w:lang w:eastAsia="en-US"/>
        </w:rPr>
        <w:t>diciembre del ejercicio n-1</w:t>
      </w:r>
      <w:r w:rsidR="00246A57">
        <w:rPr>
          <w:rFonts w:eastAsia="Calibri" w:cs="Calibri"/>
          <w:color w:val="000000"/>
          <w:sz w:val="28"/>
          <w:szCs w:val="28"/>
          <w:lang w:eastAsia="en-US"/>
        </w:rPr>
        <w:t xml:space="preserve">. </w:t>
      </w:r>
    </w:p>
    <w:p w14:paraId="4877196F" w14:textId="77777777" w:rsidR="00661F84" w:rsidRDefault="00661F84">
      <w:pPr>
        <w:pStyle w:val="LO-Normal1"/>
        <w:spacing w:line="276" w:lineRule="auto"/>
        <w:jc w:val="both"/>
        <w:rPr>
          <w:rFonts w:eastAsia="Calibri" w:cs="Calibri"/>
          <w:lang w:eastAsia="en-US"/>
        </w:rPr>
      </w:pPr>
    </w:p>
    <w:p w14:paraId="1C178F84" w14:textId="77777777"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 xml:space="preserve">b) </w:t>
      </w:r>
      <w:r>
        <w:rPr>
          <w:rFonts w:eastAsia="Calibri" w:cs="Calibri"/>
          <w:color w:val="000000"/>
          <w:sz w:val="28"/>
          <w:szCs w:val="28"/>
          <w:u w:val="single"/>
          <w:lang w:eastAsia="en-US"/>
        </w:rPr>
        <w:t>Coste de almacenamiento para el ejercicio n</w:t>
      </w:r>
    </w:p>
    <w:p w14:paraId="4EE98CC6" w14:textId="77777777" w:rsidR="00661F84" w:rsidRDefault="00661F84">
      <w:pPr>
        <w:pStyle w:val="LO-Normal1"/>
        <w:spacing w:line="276" w:lineRule="auto"/>
        <w:jc w:val="both"/>
        <w:rPr>
          <w:rFonts w:eastAsia="Calibri" w:cs="Calibri"/>
          <w:sz w:val="28"/>
          <w:szCs w:val="28"/>
          <w:u w:val="single"/>
          <w:lang w:eastAsia="en-US"/>
        </w:rPr>
      </w:pPr>
    </w:p>
    <w:p w14:paraId="70CA6F41" w14:textId="6E420DA3" w:rsidR="00661F84" w:rsidRDefault="003A2C26">
      <w:pPr>
        <w:pStyle w:val="LO-Normal1"/>
        <w:spacing w:line="276" w:lineRule="auto"/>
        <w:jc w:val="both"/>
        <w:rPr>
          <w:rFonts w:eastAsia="Calibri" w:cs="Calibri"/>
          <w:color w:val="000000"/>
          <w:sz w:val="28"/>
          <w:szCs w:val="28"/>
          <w:lang w:eastAsia="en-US"/>
        </w:rPr>
      </w:pPr>
      <w:r>
        <w:rPr>
          <w:rFonts w:eastAsia="Calibri" w:cs="Calibri"/>
          <w:color w:val="000000"/>
          <w:sz w:val="28"/>
          <w:szCs w:val="28"/>
          <w:lang w:eastAsia="en-US"/>
        </w:rPr>
        <w:t xml:space="preserve">Distribución </w:t>
      </w:r>
      <w:r>
        <w:rPr>
          <w:rFonts w:eastAsia="Calibri" w:cs="Calibri"/>
          <w:color w:val="000000"/>
          <w:sz w:val="28"/>
          <w:szCs w:val="28"/>
          <w:lang w:eastAsia="en-US"/>
        </w:rPr>
        <w:t>de la totalidad de costes de almacenamiento</w:t>
      </w:r>
      <w:r w:rsidR="00246A57">
        <w:rPr>
          <w:rFonts w:eastAsia="Calibri" w:cs="Calibri"/>
          <w:color w:val="000000"/>
          <w:sz w:val="28"/>
          <w:szCs w:val="28"/>
          <w:lang w:eastAsia="en-US"/>
        </w:rPr>
        <w:t xml:space="preserve"> </w:t>
      </w:r>
      <w:r>
        <w:rPr>
          <w:rFonts w:eastAsia="Calibri" w:cs="Calibri"/>
          <w:color w:val="000000"/>
          <w:sz w:val="28"/>
          <w:szCs w:val="28"/>
          <w:lang w:eastAsia="en-US"/>
        </w:rPr>
        <w:t xml:space="preserve">(CTA) resultantes de la liquidación del presupuesto del ejercicio n-1 mediante dos parámetros para cada entidad: </w:t>
      </w:r>
    </w:p>
    <w:p w14:paraId="47535840" w14:textId="77777777" w:rsidR="00246A57" w:rsidRDefault="00246A57">
      <w:pPr>
        <w:pStyle w:val="LO-Normal1"/>
        <w:spacing w:line="276" w:lineRule="auto"/>
        <w:jc w:val="both"/>
        <w:rPr>
          <w:color w:val="000000"/>
          <w:sz w:val="28"/>
          <w:szCs w:val="28"/>
        </w:rPr>
      </w:pPr>
    </w:p>
    <w:p w14:paraId="211AFCF6" w14:textId="77777777"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ab/>
        <w:t>b.1 Parámetro Uso:</w:t>
      </w:r>
    </w:p>
    <w:p w14:paraId="23673605" w14:textId="7C0DB97F" w:rsidR="00661F84" w:rsidRDefault="003A2C26">
      <w:pPr>
        <w:pStyle w:val="LO-Normal1"/>
        <w:spacing w:line="276" w:lineRule="auto"/>
        <w:jc w:val="both"/>
        <w:rPr>
          <w:rFonts w:eastAsia="Calibri" w:cs="Calibri"/>
          <w:color w:val="000000"/>
          <w:sz w:val="28"/>
          <w:szCs w:val="28"/>
          <w:lang w:eastAsia="en-US"/>
        </w:rPr>
      </w:pPr>
      <w:r>
        <w:rPr>
          <w:rFonts w:eastAsia="Calibri" w:cs="Calibri"/>
          <w:color w:val="000000"/>
          <w:sz w:val="28"/>
          <w:szCs w:val="28"/>
          <w:lang w:eastAsia="en-US"/>
        </w:rPr>
        <w:tab/>
      </w:r>
      <w:r>
        <w:rPr>
          <w:rFonts w:eastAsia="Calibri" w:cs="Calibri"/>
          <w:color w:val="000000"/>
          <w:sz w:val="28"/>
          <w:szCs w:val="28"/>
          <w:lang w:eastAsia="en-US"/>
        </w:rPr>
        <w:t xml:space="preserve">     Coste anual del almacenamiento usado (CTA) </w:t>
      </w:r>
      <w:r>
        <w:rPr>
          <w:rFonts w:eastAsia="Calibri" w:cs="Calibri"/>
          <w:color w:val="000000"/>
          <w:sz w:val="28"/>
          <w:szCs w:val="28"/>
          <w:lang w:eastAsia="en-US"/>
        </w:rPr>
        <w:t xml:space="preserve">dividido por almacenamiento usado (CAU) </w:t>
      </w:r>
      <w:r>
        <w:rPr>
          <w:rFonts w:eastAsia="Calibri" w:cs="Calibri"/>
          <w:color w:val="000000"/>
          <w:sz w:val="28"/>
          <w:szCs w:val="28"/>
          <w:lang w:eastAsia="en-US"/>
        </w:rPr>
        <w:t>y multiplicado por al almacenamiento usado de cada entidad.</w:t>
      </w:r>
    </w:p>
    <w:p w14:paraId="348C0E4F" w14:textId="77777777" w:rsidR="00246A57" w:rsidRDefault="00246A57">
      <w:pPr>
        <w:pStyle w:val="LO-Normal1"/>
        <w:spacing w:line="276" w:lineRule="auto"/>
        <w:jc w:val="both"/>
        <w:rPr>
          <w:color w:val="000000"/>
          <w:sz w:val="28"/>
          <w:szCs w:val="28"/>
        </w:rPr>
      </w:pPr>
    </w:p>
    <w:p w14:paraId="499030B0" w14:textId="77777777"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ab/>
        <w:t>b.2 Parámetro disponibilidad:</w:t>
      </w:r>
    </w:p>
    <w:p w14:paraId="3BA8A5BB" w14:textId="38C8FB14" w:rsidR="00661F84" w:rsidRDefault="003A2C26">
      <w:pPr>
        <w:pStyle w:val="LO-Normal1"/>
        <w:spacing w:line="276" w:lineRule="auto"/>
        <w:jc w:val="both"/>
        <w:rPr>
          <w:color w:val="000000"/>
          <w:sz w:val="28"/>
          <w:szCs w:val="28"/>
        </w:rPr>
      </w:pPr>
      <w:r>
        <w:rPr>
          <w:rFonts w:eastAsia="Calibri" w:cs="Calibri"/>
          <w:color w:val="000000"/>
          <w:sz w:val="28"/>
          <w:szCs w:val="28"/>
          <w:lang w:eastAsia="en-US"/>
        </w:rPr>
        <w:tab/>
        <w:t xml:space="preserve">         Coste anual del almacenamiento no usado (CANU) dividido por el n</w:t>
      </w:r>
      <w:r w:rsidR="00246A57">
        <w:rPr>
          <w:rFonts w:eastAsia="Calibri" w:cs="Calibri"/>
          <w:color w:val="000000"/>
          <w:sz w:val="28"/>
          <w:szCs w:val="28"/>
          <w:lang w:eastAsia="en-US"/>
        </w:rPr>
        <w:t>ú</w:t>
      </w:r>
      <w:r>
        <w:rPr>
          <w:rFonts w:eastAsia="Calibri" w:cs="Calibri"/>
          <w:color w:val="000000"/>
          <w:sz w:val="28"/>
          <w:szCs w:val="28"/>
          <w:lang w:eastAsia="en-US"/>
        </w:rPr>
        <w:t xml:space="preserve">mero de usuarios totales </w:t>
      </w:r>
      <w:r>
        <w:rPr>
          <w:rFonts w:eastAsia="Calibri" w:cs="Calibri"/>
          <w:color w:val="000000"/>
          <w:sz w:val="28"/>
          <w:szCs w:val="28"/>
          <w:lang w:eastAsia="en-US"/>
        </w:rPr>
        <w:t>y multiplicado por e</w:t>
      </w:r>
      <w:r w:rsidR="00246A57">
        <w:rPr>
          <w:rFonts w:eastAsia="Calibri" w:cs="Calibri"/>
          <w:color w:val="000000"/>
          <w:sz w:val="28"/>
          <w:szCs w:val="28"/>
          <w:lang w:eastAsia="en-US"/>
        </w:rPr>
        <w:t>l</w:t>
      </w:r>
      <w:r>
        <w:rPr>
          <w:rFonts w:eastAsia="Calibri" w:cs="Calibri"/>
          <w:color w:val="000000"/>
          <w:sz w:val="28"/>
          <w:szCs w:val="28"/>
          <w:lang w:eastAsia="en-US"/>
        </w:rPr>
        <w:t xml:space="preserve"> número de usuarios de cada entidad</w:t>
      </w:r>
      <w:r w:rsidR="00246A57">
        <w:rPr>
          <w:rFonts w:eastAsia="Calibri" w:cs="Calibri"/>
          <w:color w:val="000000"/>
          <w:sz w:val="28"/>
          <w:szCs w:val="28"/>
          <w:lang w:eastAsia="en-US"/>
        </w:rPr>
        <w:t xml:space="preserve">. </w:t>
      </w:r>
    </w:p>
    <w:p w14:paraId="0FC88D64" w14:textId="11550C27" w:rsidR="00661F84" w:rsidRPr="00246A57" w:rsidRDefault="003A2C26">
      <w:pPr>
        <w:pStyle w:val="LO-Normal1"/>
        <w:spacing w:line="276" w:lineRule="auto"/>
        <w:jc w:val="both"/>
        <w:rPr>
          <w:b/>
          <w:color w:val="000000"/>
          <w:sz w:val="28"/>
          <w:szCs w:val="28"/>
        </w:rPr>
      </w:pPr>
      <w:r>
        <w:rPr>
          <w:b/>
          <w:color w:val="000000"/>
          <w:sz w:val="28"/>
          <w:szCs w:val="28"/>
        </w:rPr>
        <w:tab/>
      </w:r>
    </w:p>
    <w:p w14:paraId="1BE4E908" w14:textId="77777777" w:rsidR="00661F84" w:rsidRDefault="003A2C26">
      <w:pPr>
        <w:pStyle w:val="LO-Normal1"/>
        <w:spacing w:line="276" w:lineRule="auto"/>
        <w:jc w:val="both"/>
        <w:rPr>
          <w:color w:val="000000"/>
          <w:sz w:val="28"/>
          <w:szCs w:val="28"/>
        </w:rPr>
      </w:pPr>
      <w:r>
        <w:rPr>
          <w:b/>
          <w:color w:val="000000"/>
          <w:sz w:val="28"/>
          <w:szCs w:val="28"/>
          <w:u w:val="single"/>
        </w:rPr>
        <w:t xml:space="preserve">c) </w:t>
      </w:r>
      <w:r>
        <w:rPr>
          <w:color w:val="000000"/>
          <w:sz w:val="28"/>
          <w:szCs w:val="28"/>
          <w:u w:val="single"/>
        </w:rPr>
        <w:t>Forma de liquidación y pago</w:t>
      </w:r>
    </w:p>
    <w:p w14:paraId="37CC981F" w14:textId="77777777" w:rsidR="00661F84" w:rsidRDefault="00661F84">
      <w:pPr>
        <w:pStyle w:val="Prrafodelista"/>
        <w:spacing w:line="276" w:lineRule="auto"/>
        <w:jc w:val="both"/>
        <w:rPr>
          <w:color w:val="000000"/>
          <w:sz w:val="28"/>
          <w:szCs w:val="28"/>
          <w:u w:val="single"/>
        </w:rPr>
      </w:pPr>
    </w:p>
    <w:p w14:paraId="3EF4AA4A" w14:textId="77777777" w:rsidR="00661F84" w:rsidRDefault="003A2C26">
      <w:pPr>
        <w:pStyle w:val="LO-Normal1"/>
        <w:spacing w:line="276" w:lineRule="auto"/>
        <w:jc w:val="both"/>
      </w:pPr>
      <w:r>
        <w:rPr>
          <w:b/>
          <w:bCs/>
          <w:color w:val="000000"/>
          <w:sz w:val="28"/>
          <w:szCs w:val="28"/>
        </w:rPr>
        <w:tab/>
      </w:r>
      <w:r>
        <w:rPr>
          <w:bCs/>
          <w:i/>
          <w:color w:val="000000"/>
          <w:sz w:val="28"/>
          <w:szCs w:val="28"/>
        </w:rPr>
        <w:t>Para el primer ejercicio</w:t>
      </w:r>
    </w:p>
    <w:p w14:paraId="4B35A83B" w14:textId="77777777" w:rsidR="00661F84" w:rsidRDefault="00661F84">
      <w:pPr>
        <w:pStyle w:val="LO-Normal1"/>
        <w:spacing w:line="276" w:lineRule="auto"/>
        <w:jc w:val="both"/>
        <w:rPr>
          <w:bCs/>
          <w:i/>
          <w:color w:val="000000"/>
          <w:sz w:val="28"/>
          <w:szCs w:val="28"/>
        </w:rPr>
      </w:pPr>
    </w:p>
    <w:p w14:paraId="6483C6FC" w14:textId="77777777" w:rsidR="00661F84" w:rsidRDefault="003A2C26">
      <w:pPr>
        <w:pStyle w:val="LO-Normal1"/>
        <w:spacing w:line="276" w:lineRule="auto"/>
        <w:jc w:val="both"/>
      </w:pPr>
      <w:r>
        <w:rPr>
          <w:color w:val="000000"/>
          <w:sz w:val="28"/>
          <w:szCs w:val="28"/>
        </w:rPr>
        <w:tab/>
        <w:t xml:space="preserve">La participación en los costes de utilización se calculará mediante la multiplicación del coste </w:t>
      </w:r>
      <w:r>
        <w:rPr>
          <w:color w:val="000000"/>
          <w:sz w:val="28"/>
          <w:szCs w:val="28"/>
        </w:rPr>
        <w:t>unitario (calculado con los datos de la liquidación del último ejercicio y con el número de usuarios efectivos a 31 de diciembre del ejercicio) por el número de usuarios previstos de la entidad incorporada.</w:t>
      </w:r>
    </w:p>
    <w:p w14:paraId="2E758C70" w14:textId="77777777" w:rsidR="00661F84" w:rsidRDefault="003A2C26">
      <w:pPr>
        <w:pStyle w:val="LO-Normal1"/>
        <w:spacing w:line="276" w:lineRule="auto"/>
        <w:jc w:val="both"/>
      </w:pPr>
      <w:r>
        <w:rPr>
          <w:color w:val="000000"/>
          <w:sz w:val="28"/>
          <w:szCs w:val="28"/>
        </w:rPr>
        <w:tab/>
        <w:t>Dicho importe se prorrateará por trimestres naturales completos, incluido aquel en el que se inicie la utilización del servicio.</w:t>
      </w:r>
    </w:p>
    <w:p w14:paraId="6E9964D3" w14:textId="77777777" w:rsidR="00661F84" w:rsidRDefault="003A2C26">
      <w:pPr>
        <w:pStyle w:val="LO-Normal1"/>
        <w:spacing w:line="276" w:lineRule="auto"/>
        <w:jc w:val="both"/>
        <w:rPr>
          <w:color w:val="000000"/>
          <w:sz w:val="28"/>
          <w:szCs w:val="28"/>
        </w:rPr>
      </w:pPr>
      <w:r>
        <w:rPr>
          <w:color w:val="000000"/>
          <w:sz w:val="28"/>
          <w:szCs w:val="28"/>
        </w:rPr>
        <w:tab/>
        <w:t>A dicha cantidad se adicionará el coste fijo que representa el importe de diez horas de un diseñador de aplicaciones informáticas, en concepto de costes de incorporación de datos de la entidad incorporada.</w:t>
      </w:r>
    </w:p>
    <w:p w14:paraId="0DBDDF14" w14:textId="77777777" w:rsidR="00661F84" w:rsidRDefault="00661F84">
      <w:pPr>
        <w:pStyle w:val="LO-Normal1"/>
        <w:spacing w:line="276" w:lineRule="auto"/>
        <w:jc w:val="both"/>
        <w:rPr>
          <w:color w:val="000000"/>
          <w:sz w:val="28"/>
          <w:szCs w:val="28"/>
        </w:rPr>
      </w:pPr>
    </w:p>
    <w:p w14:paraId="0E932F2C" w14:textId="77777777" w:rsidR="00246A57" w:rsidRDefault="00246A57">
      <w:pPr>
        <w:pStyle w:val="LO-Normal1"/>
        <w:spacing w:line="276" w:lineRule="auto"/>
        <w:jc w:val="both"/>
        <w:rPr>
          <w:color w:val="000000"/>
          <w:sz w:val="28"/>
          <w:szCs w:val="28"/>
        </w:rPr>
      </w:pPr>
    </w:p>
    <w:p w14:paraId="7BD037AA" w14:textId="77777777" w:rsidR="00246A57" w:rsidRDefault="003A2C26">
      <w:pPr>
        <w:pStyle w:val="LO-Normal1"/>
        <w:spacing w:line="276" w:lineRule="auto"/>
        <w:jc w:val="both"/>
        <w:rPr>
          <w:i/>
          <w:color w:val="000000"/>
          <w:sz w:val="28"/>
          <w:szCs w:val="28"/>
        </w:rPr>
      </w:pPr>
      <w:r>
        <w:rPr>
          <w:i/>
          <w:color w:val="000000"/>
          <w:sz w:val="28"/>
          <w:szCs w:val="28"/>
        </w:rPr>
        <w:lastRenderedPageBreak/>
        <w:tab/>
      </w:r>
    </w:p>
    <w:p w14:paraId="4823AF72" w14:textId="3F856714" w:rsidR="00661F84" w:rsidRDefault="003A2C26">
      <w:pPr>
        <w:pStyle w:val="LO-Normal1"/>
        <w:spacing w:line="276" w:lineRule="auto"/>
        <w:jc w:val="both"/>
        <w:rPr>
          <w:i/>
          <w:color w:val="000000"/>
          <w:sz w:val="28"/>
          <w:szCs w:val="28"/>
        </w:rPr>
      </w:pPr>
      <w:r>
        <w:rPr>
          <w:i/>
          <w:color w:val="000000"/>
          <w:sz w:val="28"/>
          <w:szCs w:val="28"/>
        </w:rPr>
        <w:t>Para ejercicios sucesivos</w:t>
      </w:r>
    </w:p>
    <w:p w14:paraId="241E4B3A" w14:textId="77777777" w:rsidR="00246A57" w:rsidRDefault="003A2C26">
      <w:pPr>
        <w:pStyle w:val="LO-Normal1"/>
        <w:spacing w:line="276" w:lineRule="auto"/>
        <w:jc w:val="both"/>
        <w:rPr>
          <w:color w:val="000000"/>
          <w:sz w:val="28"/>
          <w:szCs w:val="28"/>
        </w:rPr>
      </w:pPr>
      <w:r>
        <w:rPr>
          <w:color w:val="000000"/>
          <w:sz w:val="28"/>
          <w:szCs w:val="28"/>
        </w:rPr>
        <w:tab/>
      </w:r>
    </w:p>
    <w:p w14:paraId="1C0E9690" w14:textId="7DF466F2" w:rsidR="00661F84" w:rsidRDefault="003A2C26" w:rsidP="00246A57">
      <w:pPr>
        <w:pStyle w:val="LO-Normal1"/>
        <w:spacing w:line="276" w:lineRule="auto"/>
        <w:ind w:firstLine="709"/>
        <w:jc w:val="both"/>
      </w:pPr>
      <w:r>
        <w:rPr>
          <w:color w:val="000000"/>
          <w:sz w:val="28"/>
          <w:szCs w:val="28"/>
        </w:rPr>
        <w:t xml:space="preserve">En los ejercicios sucesivos, y una vez calculados y distribuidos los costes de acuerdo con el apartado “Amortización de las aplicaciones </w:t>
      </w:r>
      <w:r>
        <w:rPr>
          <w:b/>
          <w:bCs/>
          <w:color w:val="000000"/>
          <w:sz w:val="28"/>
          <w:szCs w:val="28"/>
        </w:rPr>
        <w:t>y costes objetos de distribución</w:t>
      </w:r>
      <w:r>
        <w:rPr>
          <w:color w:val="000000"/>
          <w:sz w:val="28"/>
          <w:szCs w:val="28"/>
        </w:rPr>
        <w:t>”, teniendo en cuenta los datos de la liquidación del ejercicio anterior y los usuarios a 31 de diciembre del ejercicio anterior.</w:t>
      </w:r>
    </w:p>
    <w:p w14:paraId="76B2C63C" w14:textId="77777777" w:rsidR="00661F84" w:rsidRDefault="00661F84">
      <w:pPr>
        <w:pStyle w:val="LO-Normal1"/>
        <w:spacing w:line="276" w:lineRule="auto"/>
        <w:jc w:val="both"/>
        <w:rPr>
          <w:color w:val="000000"/>
          <w:sz w:val="28"/>
          <w:szCs w:val="28"/>
        </w:rPr>
      </w:pPr>
    </w:p>
    <w:p w14:paraId="436BE747" w14:textId="77777777" w:rsidR="00661F84" w:rsidRDefault="003A2C26">
      <w:pPr>
        <w:pStyle w:val="LO-Normal1"/>
        <w:spacing w:line="276" w:lineRule="auto"/>
        <w:jc w:val="both"/>
      </w:pPr>
      <w:r>
        <w:rPr>
          <w:color w:val="000000"/>
          <w:sz w:val="28"/>
          <w:szCs w:val="28"/>
        </w:rPr>
        <w:tab/>
      </w:r>
      <w:r>
        <w:rPr>
          <w:rFonts w:cs="Times New Roman"/>
          <w:color w:val="000000"/>
          <w:sz w:val="28"/>
          <w:szCs w:val="28"/>
        </w:rPr>
        <w:t>A todas las liquidaciones anuales se adicionarán los costes de asistencias y alojamiento de la información en los que se hubieran incurrido en cada ejercicio.</w:t>
      </w:r>
    </w:p>
    <w:p w14:paraId="6378C9C3" w14:textId="77777777" w:rsidR="00661F84" w:rsidRDefault="00661F84">
      <w:pPr>
        <w:pStyle w:val="LO-Normal"/>
        <w:spacing w:line="276" w:lineRule="auto"/>
        <w:jc w:val="both"/>
        <w:rPr>
          <w:b/>
          <w:bCs/>
          <w:color w:val="000000"/>
        </w:rPr>
      </w:pPr>
    </w:p>
    <w:p w14:paraId="2BE11AD4" w14:textId="77777777" w:rsidR="00661F84" w:rsidRDefault="003A2C26">
      <w:pPr>
        <w:spacing w:line="276" w:lineRule="auto"/>
        <w:jc w:val="both"/>
        <w:rPr>
          <w:sz w:val="28"/>
          <w:szCs w:val="28"/>
        </w:rPr>
      </w:pPr>
      <w:r>
        <w:rPr>
          <w:b/>
          <w:bCs/>
          <w:color w:val="000000"/>
          <w:sz w:val="28"/>
          <w:szCs w:val="28"/>
        </w:rPr>
        <w:t xml:space="preserve">Octava. Vigencia y duración y </w:t>
      </w:r>
      <w:r>
        <w:rPr>
          <w:b/>
          <w:color w:val="000000"/>
          <w:sz w:val="28"/>
          <w:szCs w:val="28"/>
        </w:rPr>
        <w:t>modificación del Convenio.</w:t>
      </w:r>
    </w:p>
    <w:p w14:paraId="75CEFA73" w14:textId="77777777" w:rsidR="00661F84" w:rsidRDefault="00661F84">
      <w:pPr>
        <w:spacing w:line="276" w:lineRule="auto"/>
        <w:jc w:val="both"/>
        <w:rPr>
          <w:color w:val="000000"/>
          <w:sz w:val="28"/>
          <w:szCs w:val="28"/>
        </w:rPr>
      </w:pPr>
    </w:p>
    <w:p w14:paraId="206AF9E7" w14:textId="77777777" w:rsidR="00661F84" w:rsidRDefault="003A2C26">
      <w:pPr>
        <w:pStyle w:val="Pa6"/>
        <w:spacing w:line="276" w:lineRule="auto"/>
        <w:ind w:firstLine="340"/>
        <w:jc w:val="both"/>
        <w:rPr>
          <w:rFonts w:ascii="Liberation Serif" w:hAnsi="Liberation Serif"/>
          <w:sz w:val="28"/>
          <w:szCs w:val="28"/>
        </w:rPr>
      </w:pPr>
      <w:r>
        <w:rPr>
          <w:rFonts w:ascii="Liberation Serif" w:hAnsi="Liberation Serif"/>
          <w:sz w:val="28"/>
          <w:szCs w:val="28"/>
        </w:rPr>
        <w:tab/>
        <w:t>Los efectos del presente convenio comenzarán en la fecha de su firma y tendrán una duración de cuatro años.</w:t>
      </w:r>
    </w:p>
    <w:p w14:paraId="4301CA97" w14:textId="77777777" w:rsidR="00661F84" w:rsidRDefault="00661F84">
      <w:pPr>
        <w:pStyle w:val="Pa6"/>
        <w:spacing w:line="276" w:lineRule="auto"/>
        <w:ind w:firstLine="340"/>
        <w:jc w:val="both"/>
        <w:rPr>
          <w:rFonts w:ascii="Liberation Serif" w:hAnsi="Liberation Serif"/>
          <w:sz w:val="28"/>
          <w:szCs w:val="28"/>
        </w:rPr>
      </w:pPr>
    </w:p>
    <w:p w14:paraId="36C5DB1F" w14:textId="77777777" w:rsidR="00661F84" w:rsidRDefault="003A2C26">
      <w:pPr>
        <w:spacing w:line="276" w:lineRule="auto"/>
        <w:jc w:val="both"/>
        <w:rPr>
          <w:sz w:val="28"/>
          <w:szCs w:val="28"/>
        </w:rPr>
      </w:pPr>
      <w:r>
        <w:rPr>
          <w:color w:val="000000"/>
          <w:sz w:val="28"/>
          <w:szCs w:val="28"/>
        </w:rPr>
        <w:tab/>
        <w:t xml:space="preserve">En cualquier momento antes de la finalización del plazo previsto en el </w:t>
      </w:r>
      <w:r>
        <w:rPr>
          <w:color w:val="000000"/>
          <w:sz w:val="28"/>
          <w:szCs w:val="28"/>
        </w:rPr>
        <w:t>apartado anterior, los firmantes del convenio podrán acordar su prórroga por un periodo de hasta cuatro años adicionales, o su extinción.</w:t>
      </w:r>
    </w:p>
    <w:p w14:paraId="5F740D0D" w14:textId="77777777" w:rsidR="00661F84" w:rsidRDefault="00661F84">
      <w:pPr>
        <w:spacing w:line="276" w:lineRule="auto"/>
        <w:jc w:val="both"/>
        <w:rPr>
          <w:sz w:val="28"/>
          <w:szCs w:val="28"/>
        </w:rPr>
      </w:pPr>
    </w:p>
    <w:p w14:paraId="02258EEF" w14:textId="77777777" w:rsidR="00661F84" w:rsidRDefault="003A2C26">
      <w:pPr>
        <w:spacing w:line="276" w:lineRule="auto"/>
        <w:jc w:val="both"/>
        <w:rPr>
          <w:sz w:val="28"/>
          <w:szCs w:val="28"/>
        </w:rPr>
      </w:pPr>
      <w:r>
        <w:rPr>
          <w:color w:val="000000"/>
          <w:sz w:val="28"/>
          <w:szCs w:val="28"/>
        </w:rPr>
        <w:tab/>
        <w:t>El texto de este Convenio podrá ser modificado por acuerdo de las partes.</w:t>
      </w:r>
    </w:p>
    <w:p w14:paraId="75E906D1" w14:textId="77777777" w:rsidR="00661F84" w:rsidRDefault="00661F84">
      <w:pPr>
        <w:shd w:val="clear" w:color="auto" w:fill="FFFFFF"/>
        <w:spacing w:line="276" w:lineRule="auto"/>
        <w:jc w:val="both"/>
        <w:rPr>
          <w:b/>
          <w:color w:val="000000"/>
          <w:sz w:val="28"/>
          <w:szCs w:val="28"/>
        </w:rPr>
      </w:pPr>
    </w:p>
    <w:p w14:paraId="07B76F46" w14:textId="3938A68B" w:rsidR="00661F84" w:rsidRDefault="003A2C26">
      <w:pPr>
        <w:shd w:val="clear" w:color="auto" w:fill="FFFFFF"/>
        <w:spacing w:line="276" w:lineRule="auto"/>
        <w:jc w:val="both"/>
        <w:rPr>
          <w:sz w:val="28"/>
          <w:szCs w:val="28"/>
        </w:rPr>
      </w:pPr>
      <w:r>
        <w:rPr>
          <w:b/>
          <w:color w:val="000000"/>
          <w:sz w:val="28"/>
          <w:szCs w:val="28"/>
        </w:rPr>
        <w:t xml:space="preserve">Novena. Causas de extinción </w:t>
      </w:r>
      <w:r>
        <w:rPr>
          <w:b/>
          <w:color w:val="000000"/>
          <w:sz w:val="28"/>
          <w:szCs w:val="28"/>
        </w:rPr>
        <w:t xml:space="preserve">y resolución  </w:t>
      </w:r>
    </w:p>
    <w:p w14:paraId="233497D7" w14:textId="77777777" w:rsidR="00661F84" w:rsidRDefault="003A2C26">
      <w:pPr>
        <w:shd w:val="clear" w:color="auto" w:fill="FFFFFF"/>
        <w:spacing w:line="276" w:lineRule="auto"/>
        <w:jc w:val="both"/>
        <w:rPr>
          <w:sz w:val="28"/>
          <w:szCs w:val="28"/>
        </w:rPr>
      </w:pPr>
      <w:r>
        <w:rPr>
          <w:color w:val="000000"/>
          <w:sz w:val="28"/>
          <w:szCs w:val="28"/>
        </w:rPr>
        <w:t xml:space="preserve"> </w:t>
      </w:r>
    </w:p>
    <w:p w14:paraId="33B1CA8E" w14:textId="77777777" w:rsidR="00661F84" w:rsidRDefault="003A2C26">
      <w:pPr>
        <w:shd w:val="clear" w:color="auto" w:fill="FFFFFF"/>
        <w:spacing w:line="276" w:lineRule="auto"/>
        <w:jc w:val="both"/>
        <w:rPr>
          <w:sz w:val="28"/>
          <w:szCs w:val="28"/>
        </w:rPr>
      </w:pPr>
      <w:r>
        <w:rPr>
          <w:color w:val="000000"/>
          <w:sz w:val="28"/>
          <w:szCs w:val="28"/>
        </w:rPr>
        <w:tab/>
        <w:t>En materia de extinción, se estará a lo dispuesto en el apartado 1 del artículo 51 de la Ley 40/2015, de 1 de octubre.</w:t>
      </w:r>
    </w:p>
    <w:p w14:paraId="46B46CF2" w14:textId="77777777" w:rsidR="00661F84" w:rsidRDefault="00661F84">
      <w:pPr>
        <w:shd w:val="clear" w:color="auto" w:fill="FFFFFF"/>
        <w:spacing w:line="276" w:lineRule="auto"/>
        <w:jc w:val="both"/>
        <w:rPr>
          <w:sz w:val="28"/>
          <w:szCs w:val="28"/>
        </w:rPr>
      </w:pPr>
    </w:p>
    <w:p w14:paraId="12C46512" w14:textId="4D59FE5C" w:rsidR="00661F84" w:rsidRDefault="003A2C26">
      <w:pPr>
        <w:shd w:val="clear" w:color="auto" w:fill="FFFFFF"/>
        <w:spacing w:line="276" w:lineRule="auto"/>
        <w:jc w:val="both"/>
        <w:rPr>
          <w:sz w:val="28"/>
          <w:szCs w:val="28"/>
        </w:rPr>
      </w:pPr>
      <w:r>
        <w:rPr>
          <w:color w:val="000000"/>
          <w:sz w:val="28"/>
          <w:szCs w:val="28"/>
        </w:rPr>
        <w:tab/>
        <w:t xml:space="preserve">De conformidad con lo establecido en el artículo 51.2 de la Ley 40/2015, de 1 de octubre, de Régimen Jurídico del Sector </w:t>
      </w:r>
      <w:r>
        <w:rPr>
          <w:color w:val="000000"/>
          <w:sz w:val="28"/>
          <w:szCs w:val="28"/>
        </w:rPr>
        <w:t>Público</w:t>
      </w:r>
      <w:r w:rsidR="00246A57">
        <w:rPr>
          <w:color w:val="000000"/>
          <w:sz w:val="28"/>
          <w:szCs w:val="28"/>
        </w:rPr>
        <w:t>,</w:t>
      </w:r>
      <w:r>
        <w:rPr>
          <w:color w:val="000000"/>
          <w:sz w:val="28"/>
          <w:szCs w:val="28"/>
        </w:rPr>
        <w:t xml:space="preserve"> son causas de resolución del Convenio, por causa distinta a la prevista en la cláusula octava las siguientes:</w:t>
      </w:r>
    </w:p>
    <w:p w14:paraId="13661F43" w14:textId="77777777" w:rsidR="00661F84" w:rsidRDefault="00661F84">
      <w:pPr>
        <w:shd w:val="clear" w:color="auto" w:fill="FFFFFF"/>
        <w:spacing w:line="276" w:lineRule="auto"/>
        <w:jc w:val="both"/>
        <w:rPr>
          <w:sz w:val="28"/>
          <w:szCs w:val="28"/>
        </w:rPr>
      </w:pPr>
    </w:p>
    <w:p w14:paraId="4FC9F7E6" w14:textId="77777777" w:rsidR="00661F84" w:rsidRDefault="003A2C26">
      <w:pPr>
        <w:pStyle w:val="Textoindependiente"/>
        <w:spacing w:after="0" w:line="276" w:lineRule="auto"/>
        <w:jc w:val="both"/>
        <w:rPr>
          <w:sz w:val="28"/>
          <w:szCs w:val="28"/>
        </w:rPr>
      </w:pPr>
      <w:r>
        <w:rPr>
          <w:color w:val="000000"/>
          <w:sz w:val="28"/>
          <w:szCs w:val="28"/>
        </w:rPr>
        <w:tab/>
        <w:t>- El incumplimiento de las obligaciones y compromisos asumidos por parte de alguno de los firmantes.</w:t>
      </w:r>
    </w:p>
    <w:p w14:paraId="123812FE" w14:textId="77777777" w:rsidR="00661F84" w:rsidRDefault="003A2C26">
      <w:pPr>
        <w:pStyle w:val="Textoindependiente"/>
        <w:spacing w:after="0" w:line="276" w:lineRule="auto"/>
        <w:jc w:val="both"/>
        <w:rPr>
          <w:sz w:val="28"/>
          <w:szCs w:val="28"/>
        </w:rPr>
      </w:pPr>
      <w:r>
        <w:rPr>
          <w:color w:val="000000"/>
          <w:sz w:val="28"/>
          <w:szCs w:val="28"/>
        </w:rPr>
        <w:tab/>
        <w:t>- La decisión judicial declaratoria de la nulidad del convenio.</w:t>
      </w:r>
    </w:p>
    <w:p w14:paraId="145E5573" w14:textId="74AE3FA2" w:rsidR="00246A57" w:rsidRDefault="003A2C26">
      <w:pPr>
        <w:pStyle w:val="Textoindependiente"/>
        <w:spacing w:after="0" w:line="276" w:lineRule="auto"/>
        <w:jc w:val="both"/>
        <w:rPr>
          <w:color w:val="000000"/>
          <w:sz w:val="28"/>
          <w:szCs w:val="28"/>
        </w:rPr>
      </w:pPr>
      <w:r>
        <w:rPr>
          <w:color w:val="000000"/>
          <w:sz w:val="28"/>
          <w:szCs w:val="28"/>
        </w:rPr>
        <w:tab/>
      </w:r>
    </w:p>
    <w:p w14:paraId="7408A1DE" w14:textId="77777777" w:rsidR="00246A57" w:rsidRDefault="00246A57">
      <w:pPr>
        <w:pStyle w:val="Textoindependiente"/>
        <w:spacing w:after="0" w:line="276" w:lineRule="auto"/>
        <w:jc w:val="both"/>
        <w:rPr>
          <w:color w:val="000000"/>
          <w:sz w:val="28"/>
          <w:szCs w:val="28"/>
        </w:rPr>
      </w:pPr>
    </w:p>
    <w:p w14:paraId="7280E7D1" w14:textId="77777777" w:rsidR="00246A57" w:rsidRDefault="00246A57">
      <w:pPr>
        <w:pStyle w:val="Textoindependiente"/>
        <w:spacing w:after="0" w:line="276" w:lineRule="auto"/>
        <w:jc w:val="both"/>
        <w:rPr>
          <w:color w:val="000000"/>
          <w:sz w:val="28"/>
          <w:szCs w:val="28"/>
        </w:rPr>
      </w:pPr>
    </w:p>
    <w:p w14:paraId="0C3D44FC" w14:textId="3FFAE97D" w:rsidR="00661F84" w:rsidRDefault="00246A57" w:rsidP="00246A57">
      <w:pPr>
        <w:pStyle w:val="Textoindependiente"/>
        <w:spacing w:after="0" w:line="276" w:lineRule="auto"/>
        <w:ind w:firstLine="709"/>
        <w:jc w:val="both"/>
        <w:rPr>
          <w:sz w:val="28"/>
          <w:szCs w:val="28"/>
        </w:rPr>
      </w:pPr>
      <w:r>
        <w:rPr>
          <w:color w:val="000000"/>
          <w:sz w:val="28"/>
          <w:szCs w:val="28"/>
        </w:rPr>
        <w:t xml:space="preserve">- </w:t>
      </w:r>
      <w:r w:rsidR="003A2C26">
        <w:rPr>
          <w:color w:val="000000"/>
          <w:sz w:val="28"/>
          <w:szCs w:val="28"/>
        </w:rPr>
        <w:t>Cualquier otra causa distinta de las anteriores prevista en el convenio o en otras leyes.</w:t>
      </w:r>
    </w:p>
    <w:p w14:paraId="258C3F8E" w14:textId="77777777" w:rsidR="00661F84" w:rsidRDefault="003A2C26">
      <w:pPr>
        <w:pStyle w:val="Textoindependiente"/>
        <w:spacing w:after="0" w:line="276" w:lineRule="auto"/>
        <w:jc w:val="both"/>
        <w:rPr>
          <w:sz w:val="28"/>
          <w:szCs w:val="28"/>
        </w:rPr>
      </w:pPr>
      <w:r>
        <w:rPr>
          <w:color w:val="000000"/>
          <w:sz w:val="28"/>
          <w:szCs w:val="28"/>
        </w:rPr>
        <w:tab/>
        <w:t>- Asimismo, las partes firmantes podrán resolver este Convenio por mutuo acuerdo, o por denuncia de cualquiera de las mismas mediante preaviso comunicado de forma fehaciente a la otra parte con un plazo de antelación de un año a la fecha de resolución propuesta, todo ello para la gestión ordenada de la finalización del servicio y la elaboración de los soportes de entrega que se realizarán de conformidad con el ENI.</w:t>
      </w:r>
    </w:p>
    <w:p w14:paraId="106EF36B" w14:textId="77777777" w:rsidR="00661F84" w:rsidRDefault="00661F84">
      <w:pPr>
        <w:pStyle w:val="Textoindependiente"/>
        <w:spacing w:after="0" w:line="276" w:lineRule="auto"/>
        <w:jc w:val="both"/>
        <w:rPr>
          <w:b/>
          <w:bCs/>
          <w:color w:val="000000"/>
          <w:sz w:val="28"/>
          <w:szCs w:val="28"/>
        </w:rPr>
      </w:pPr>
    </w:p>
    <w:p w14:paraId="0B7D18A1" w14:textId="77777777" w:rsidR="00661F84" w:rsidRDefault="003A2C26">
      <w:pPr>
        <w:pStyle w:val="Textoindependiente"/>
        <w:spacing w:after="0" w:line="276" w:lineRule="auto"/>
        <w:jc w:val="both"/>
        <w:rPr>
          <w:sz w:val="28"/>
          <w:szCs w:val="28"/>
        </w:rPr>
      </w:pPr>
      <w:r>
        <w:rPr>
          <w:b/>
          <w:bCs/>
          <w:color w:val="000000"/>
          <w:sz w:val="28"/>
          <w:szCs w:val="28"/>
        </w:rPr>
        <w:t>Décima. Consecuencias en caso de incumplimientos</w:t>
      </w:r>
    </w:p>
    <w:p w14:paraId="59269A46" w14:textId="77777777" w:rsidR="00661F84" w:rsidRDefault="00661F84">
      <w:pPr>
        <w:pStyle w:val="Textoindependiente"/>
        <w:spacing w:after="0" w:line="276" w:lineRule="auto"/>
        <w:jc w:val="both"/>
        <w:rPr>
          <w:color w:val="000000"/>
          <w:sz w:val="28"/>
          <w:szCs w:val="28"/>
        </w:rPr>
      </w:pPr>
    </w:p>
    <w:p w14:paraId="38F95BB4" w14:textId="77777777" w:rsidR="00661F84" w:rsidRDefault="003A2C26">
      <w:pPr>
        <w:spacing w:line="276" w:lineRule="auto"/>
        <w:jc w:val="both"/>
        <w:rPr>
          <w:sz w:val="28"/>
          <w:szCs w:val="28"/>
        </w:rPr>
      </w:pPr>
      <w:r>
        <w:rPr>
          <w:color w:val="000000"/>
          <w:sz w:val="28"/>
          <w:szCs w:val="28"/>
        </w:rPr>
        <w:tab/>
        <w:t>La demora en el pago de las obligaciones asumidas por la entidad cesionaria superior a 60 días naturales desde la comunicación de la liquidación, llevará aparejado el pago de una indemnización pecuniaria equivalente a los intereses moratorias calculados de acuerdo con la normativa de morosidad de las operaciones comerciales.</w:t>
      </w:r>
    </w:p>
    <w:p w14:paraId="513FCDEC" w14:textId="77777777" w:rsidR="00661F84" w:rsidRDefault="003A2C26">
      <w:pPr>
        <w:pStyle w:val="Textoindependiente"/>
        <w:spacing w:after="0" w:line="276" w:lineRule="auto"/>
        <w:jc w:val="both"/>
        <w:rPr>
          <w:sz w:val="28"/>
          <w:szCs w:val="28"/>
        </w:rPr>
      </w:pPr>
      <w:r>
        <w:rPr>
          <w:color w:val="000000"/>
          <w:sz w:val="28"/>
          <w:szCs w:val="28"/>
        </w:rPr>
        <w:tab/>
        <w:t xml:space="preserve"> En ambos casos, cualquiera de las partes podrá notificar a la parte incumplidora un requerimiento para que cumpla en un determinado plazo con las obligaciones o compromisos que se consideran incumplidos.</w:t>
      </w:r>
    </w:p>
    <w:p w14:paraId="17CBC628" w14:textId="77777777" w:rsidR="00661F84" w:rsidRDefault="00661F84">
      <w:pPr>
        <w:pStyle w:val="Textoindependiente"/>
        <w:spacing w:after="0" w:line="276" w:lineRule="auto"/>
        <w:jc w:val="both"/>
        <w:rPr>
          <w:color w:val="000000"/>
          <w:sz w:val="28"/>
          <w:szCs w:val="28"/>
        </w:rPr>
      </w:pPr>
    </w:p>
    <w:p w14:paraId="7F7DA3D3" w14:textId="5617274A" w:rsidR="00661F84" w:rsidRDefault="003A2C26">
      <w:pPr>
        <w:pStyle w:val="Textoindependiente"/>
        <w:spacing w:after="0" w:line="276" w:lineRule="auto"/>
        <w:jc w:val="both"/>
        <w:rPr>
          <w:sz w:val="28"/>
          <w:szCs w:val="28"/>
        </w:rPr>
      </w:pPr>
      <w:r>
        <w:rPr>
          <w:b/>
          <w:bCs/>
          <w:color w:val="000000"/>
          <w:sz w:val="28"/>
          <w:szCs w:val="28"/>
        </w:rPr>
        <w:t>Undécima</w:t>
      </w:r>
      <w:r w:rsidR="00246A57">
        <w:rPr>
          <w:b/>
          <w:bCs/>
          <w:color w:val="000000"/>
          <w:sz w:val="28"/>
          <w:szCs w:val="28"/>
        </w:rPr>
        <w:t xml:space="preserve">. </w:t>
      </w:r>
      <w:r>
        <w:rPr>
          <w:b/>
          <w:bCs/>
          <w:color w:val="000000"/>
          <w:sz w:val="28"/>
          <w:szCs w:val="28"/>
        </w:rPr>
        <w:t>Comisión de seguimiento</w:t>
      </w:r>
    </w:p>
    <w:p w14:paraId="1202D7CE" w14:textId="77777777" w:rsidR="00661F84" w:rsidRDefault="00661F84">
      <w:pPr>
        <w:pStyle w:val="Textoindependiente"/>
        <w:spacing w:after="0" w:line="276" w:lineRule="auto"/>
        <w:jc w:val="both"/>
        <w:rPr>
          <w:sz w:val="28"/>
          <w:szCs w:val="28"/>
        </w:rPr>
      </w:pPr>
    </w:p>
    <w:p w14:paraId="121DC0F2" w14:textId="77777777" w:rsidR="00661F84" w:rsidRDefault="003A2C26">
      <w:pPr>
        <w:pStyle w:val="Pa6"/>
        <w:spacing w:line="276" w:lineRule="auto"/>
        <w:jc w:val="both"/>
        <w:rPr>
          <w:rFonts w:ascii="Liberation Serif" w:hAnsi="Liberation Serif"/>
          <w:sz w:val="28"/>
          <w:szCs w:val="28"/>
        </w:rPr>
      </w:pPr>
      <w:r>
        <w:rPr>
          <w:rFonts w:ascii="Liberation Serif" w:hAnsi="Liberation Serif"/>
          <w:sz w:val="28"/>
          <w:szCs w:val="28"/>
        </w:rPr>
        <w:tab/>
      </w:r>
      <w:r>
        <w:rPr>
          <w:rFonts w:ascii="Liberation Serif" w:hAnsi="Liberation Serif"/>
          <w:sz w:val="28"/>
          <w:szCs w:val="28"/>
        </w:rPr>
        <w:t>A fin de efectuar el seguimiento y evaluación de la aplicación del convenio, la interpretación de su contenido, así como la propuesta de nuevas actuaciones de las partes que complementen las comprendidas en aquel, se constituirá una Comisión Mixta de Seguimiento, integrada por dos representantes de cada una de las partes.</w:t>
      </w:r>
      <w:r>
        <w:rPr>
          <w:rFonts w:ascii="Liberation Serif" w:hAnsi="Liberation Serif"/>
          <w:sz w:val="28"/>
          <w:szCs w:val="28"/>
        </w:rPr>
        <w:tab/>
      </w:r>
    </w:p>
    <w:p w14:paraId="1A7FC5DB" w14:textId="77777777" w:rsidR="00661F84" w:rsidRDefault="00661F84">
      <w:pPr>
        <w:pStyle w:val="Pa6"/>
        <w:spacing w:line="276" w:lineRule="auto"/>
        <w:jc w:val="both"/>
        <w:rPr>
          <w:rFonts w:ascii="Liberation Serif" w:hAnsi="Liberation Serif"/>
          <w:sz w:val="28"/>
          <w:szCs w:val="28"/>
        </w:rPr>
      </w:pPr>
    </w:p>
    <w:p w14:paraId="32D6100B" w14:textId="514B2B02" w:rsidR="00661F84" w:rsidRDefault="003A2C26">
      <w:pPr>
        <w:pStyle w:val="Pa6"/>
        <w:spacing w:line="276" w:lineRule="auto"/>
        <w:jc w:val="both"/>
        <w:rPr>
          <w:rFonts w:ascii="Liberation Serif" w:hAnsi="Liberation Serif"/>
          <w:sz w:val="28"/>
          <w:szCs w:val="28"/>
        </w:rPr>
      </w:pPr>
      <w:r>
        <w:rPr>
          <w:rFonts w:ascii="Liberation Serif" w:hAnsi="Liberation Serif"/>
          <w:sz w:val="28"/>
          <w:szCs w:val="28"/>
        </w:rPr>
        <w:tab/>
        <w:t>Dicha Comisión constituirá el mecanismo de resolución de los problemas de interpretación y cumplimiento que puedan plantearse respecto del contenido del Convenio, para lo cual</w:t>
      </w:r>
      <w:r w:rsidR="00246A57">
        <w:rPr>
          <w:rFonts w:ascii="Liberation Serif" w:hAnsi="Liberation Serif"/>
          <w:sz w:val="28"/>
          <w:szCs w:val="28"/>
        </w:rPr>
        <w:t>,</w:t>
      </w:r>
      <w:r>
        <w:rPr>
          <w:rFonts w:ascii="Liberation Serif" w:hAnsi="Liberation Serif"/>
          <w:sz w:val="28"/>
          <w:szCs w:val="28"/>
        </w:rPr>
        <w:t xml:space="preserve"> se podrán solicitar dictámenes conjuntos a los órganos consultivos de cada una de las partes firmantes</w:t>
      </w:r>
    </w:p>
    <w:p w14:paraId="59323349" w14:textId="77777777" w:rsidR="00661F84" w:rsidRDefault="00661F84">
      <w:pPr>
        <w:pStyle w:val="Pa6"/>
        <w:spacing w:line="276" w:lineRule="auto"/>
        <w:jc w:val="both"/>
        <w:rPr>
          <w:rFonts w:ascii="Liberation Serif" w:hAnsi="Liberation Serif"/>
          <w:sz w:val="28"/>
          <w:szCs w:val="28"/>
        </w:rPr>
      </w:pPr>
    </w:p>
    <w:p w14:paraId="75E667AF" w14:textId="77777777" w:rsidR="00661F84" w:rsidRDefault="003A2C26">
      <w:pPr>
        <w:pStyle w:val="Pa15"/>
        <w:spacing w:line="276" w:lineRule="auto"/>
        <w:jc w:val="both"/>
        <w:rPr>
          <w:rFonts w:ascii="Liberation Serif" w:hAnsi="Liberation Serif"/>
          <w:sz w:val="28"/>
          <w:szCs w:val="28"/>
        </w:rPr>
      </w:pPr>
      <w:r>
        <w:rPr>
          <w:rFonts w:ascii="Liberation Serif" w:hAnsi="Liberation Serif"/>
          <w:sz w:val="28"/>
          <w:szCs w:val="28"/>
        </w:rPr>
        <w:tab/>
        <w:t>La citada Comisión de Seguimiento se reunirá a petición de cualquiera de las partes.</w:t>
      </w:r>
    </w:p>
    <w:p w14:paraId="496847D3" w14:textId="77777777" w:rsidR="00246A57" w:rsidRDefault="003A2C26">
      <w:pPr>
        <w:shd w:val="clear" w:color="auto" w:fill="FFFFFF"/>
        <w:spacing w:line="276" w:lineRule="auto"/>
        <w:jc w:val="both"/>
        <w:rPr>
          <w:color w:val="000000"/>
          <w:sz w:val="28"/>
          <w:szCs w:val="28"/>
        </w:rPr>
      </w:pPr>
      <w:r>
        <w:rPr>
          <w:color w:val="000000"/>
          <w:sz w:val="28"/>
          <w:szCs w:val="28"/>
        </w:rPr>
        <w:lastRenderedPageBreak/>
        <w:tab/>
      </w:r>
    </w:p>
    <w:p w14:paraId="2A98FF02" w14:textId="77777777" w:rsidR="00246A57" w:rsidRDefault="00246A57">
      <w:pPr>
        <w:shd w:val="clear" w:color="auto" w:fill="FFFFFF"/>
        <w:spacing w:line="276" w:lineRule="auto"/>
        <w:jc w:val="both"/>
        <w:rPr>
          <w:color w:val="000000"/>
          <w:sz w:val="28"/>
          <w:szCs w:val="28"/>
        </w:rPr>
      </w:pPr>
    </w:p>
    <w:p w14:paraId="2324A18F" w14:textId="40983794" w:rsidR="00661F84" w:rsidRDefault="003A2C26" w:rsidP="00246A57">
      <w:pPr>
        <w:shd w:val="clear" w:color="auto" w:fill="FFFFFF"/>
        <w:spacing w:line="276" w:lineRule="auto"/>
        <w:ind w:firstLine="709"/>
        <w:jc w:val="both"/>
        <w:rPr>
          <w:sz w:val="28"/>
          <w:szCs w:val="28"/>
        </w:rPr>
      </w:pPr>
      <w:r>
        <w:rPr>
          <w:color w:val="000000"/>
          <w:sz w:val="28"/>
          <w:szCs w:val="28"/>
        </w:rPr>
        <w:t>Dicho órgano colegiado podrá estar asistido por los técnicos que se estime oportunos, con derecho a voz pero sin voto.</w:t>
      </w:r>
    </w:p>
    <w:p w14:paraId="4F569D86" w14:textId="77777777" w:rsidR="00661F84" w:rsidRDefault="00661F84">
      <w:pPr>
        <w:shd w:val="clear" w:color="auto" w:fill="FFFFFF"/>
        <w:spacing w:line="276" w:lineRule="auto"/>
        <w:jc w:val="both"/>
        <w:rPr>
          <w:color w:val="000000"/>
          <w:sz w:val="28"/>
          <w:szCs w:val="28"/>
        </w:rPr>
      </w:pPr>
    </w:p>
    <w:p w14:paraId="48E60ED2" w14:textId="77777777" w:rsidR="00661F84" w:rsidRDefault="00661F84">
      <w:pPr>
        <w:shd w:val="clear" w:color="auto" w:fill="FFFFFF"/>
        <w:spacing w:line="276" w:lineRule="auto"/>
        <w:jc w:val="both"/>
        <w:rPr>
          <w:b/>
          <w:bCs/>
          <w:color w:val="000000"/>
        </w:rPr>
      </w:pPr>
    </w:p>
    <w:p w14:paraId="3CD372C5" w14:textId="77777777" w:rsidR="00661F84" w:rsidRDefault="003A2C26">
      <w:pPr>
        <w:shd w:val="clear" w:color="auto" w:fill="FFFFFF"/>
        <w:spacing w:line="276" w:lineRule="auto"/>
        <w:jc w:val="both"/>
        <w:rPr>
          <w:sz w:val="28"/>
          <w:szCs w:val="28"/>
        </w:rPr>
      </w:pPr>
      <w:r>
        <w:rPr>
          <w:b/>
          <w:bCs/>
          <w:color w:val="000000"/>
          <w:sz w:val="28"/>
          <w:szCs w:val="28"/>
        </w:rPr>
        <w:t>Décimo segunda.</w:t>
      </w:r>
    </w:p>
    <w:p w14:paraId="16E6B94C" w14:textId="77777777" w:rsidR="00661F84" w:rsidRDefault="00661F84">
      <w:pPr>
        <w:shd w:val="clear" w:color="auto" w:fill="FFFFFF"/>
        <w:spacing w:line="276" w:lineRule="auto"/>
        <w:jc w:val="both"/>
        <w:rPr>
          <w:b/>
          <w:bCs/>
          <w:color w:val="000000"/>
          <w:sz w:val="28"/>
          <w:szCs w:val="28"/>
        </w:rPr>
      </w:pPr>
    </w:p>
    <w:p w14:paraId="2C5F6842" w14:textId="77777777" w:rsidR="00661F84" w:rsidRDefault="003A2C26">
      <w:pPr>
        <w:shd w:val="clear" w:color="auto" w:fill="FFFFFF"/>
        <w:spacing w:line="276" w:lineRule="auto"/>
        <w:ind w:firstLine="709"/>
        <w:jc w:val="both"/>
        <w:rPr>
          <w:sz w:val="28"/>
          <w:szCs w:val="28"/>
        </w:rPr>
      </w:pPr>
      <w:r>
        <w:rPr>
          <w:color w:val="000000"/>
          <w:sz w:val="28"/>
          <w:szCs w:val="28"/>
        </w:rPr>
        <w:t>Cualquier controversia que pudiera surgir entre las partes firmantes de este Convenio sobre su interpretación, ejecución o resolución, será resuelta, una vez sometida a la Comisión Mixta de Seguimiento sin alcanzarse un acuerdo satisfactorio, por el Orden Jurisdiccional Contencioso – Administrativo, resultando competentes los juzgados y tribunales de Albacete.</w:t>
      </w:r>
    </w:p>
    <w:p w14:paraId="632F8909" w14:textId="77777777" w:rsidR="00661F84" w:rsidRDefault="00661F84">
      <w:pPr>
        <w:shd w:val="clear" w:color="auto" w:fill="FFFFFF"/>
        <w:spacing w:line="276" w:lineRule="auto"/>
        <w:ind w:firstLine="709"/>
        <w:jc w:val="both"/>
        <w:rPr>
          <w:sz w:val="28"/>
          <w:szCs w:val="28"/>
        </w:rPr>
      </w:pPr>
    </w:p>
    <w:p w14:paraId="31A90F0A" w14:textId="77777777" w:rsidR="00661F84" w:rsidRDefault="003A2C26">
      <w:pPr>
        <w:shd w:val="clear" w:color="auto" w:fill="FFFFFF"/>
        <w:spacing w:line="276" w:lineRule="auto"/>
        <w:jc w:val="both"/>
        <w:rPr>
          <w:b/>
          <w:bCs/>
          <w:sz w:val="28"/>
          <w:szCs w:val="28"/>
        </w:rPr>
      </w:pPr>
      <w:r>
        <w:rPr>
          <w:b/>
          <w:bCs/>
          <w:sz w:val="28"/>
          <w:szCs w:val="28"/>
        </w:rPr>
        <w:t>Disposición adicional</w:t>
      </w:r>
    </w:p>
    <w:p w14:paraId="3DB2B445" w14:textId="77777777" w:rsidR="00661F84" w:rsidRDefault="00661F84">
      <w:pPr>
        <w:shd w:val="clear" w:color="auto" w:fill="FFFFFF"/>
        <w:spacing w:line="276" w:lineRule="auto"/>
        <w:jc w:val="both"/>
        <w:rPr>
          <w:b/>
          <w:bCs/>
          <w:sz w:val="28"/>
          <w:szCs w:val="28"/>
        </w:rPr>
      </w:pPr>
    </w:p>
    <w:p w14:paraId="0BBA9968" w14:textId="094BED51" w:rsidR="00661F84" w:rsidRDefault="003A2C26" w:rsidP="00246A57">
      <w:pPr>
        <w:shd w:val="clear" w:color="auto" w:fill="FFFFFF"/>
        <w:spacing w:line="276" w:lineRule="auto"/>
        <w:ind w:firstLine="709"/>
        <w:jc w:val="both"/>
        <w:rPr>
          <w:rStyle w:val="EnlacedeInternet"/>
          <w:color w:val="000000"/>
          <w:sz w:val="28"/>
          <w:szCs w:val="28"/>
        </w:rPr>
      </w:pPr>
      <w:r>
        <w:rPr>
          <w:color w:val="000000"/>
          <w:sz w:val="28"/>
          <w:szCs w:val="28"/>
        </w:rPr>
        <w:t xml:space="preserve">A efectos informativos se indica que de conformidad </w:t>
      </w:r>
      <w:r>
        <w:rPr>
          <w:color w:val="000000"/>
          <w:sz w:val="28"/>
          <w:szCs w:val="28"/>
        </w:rPr>
        <w:t>con el Modelo de Costes aprobado el 21 de Septiembre de 2023</w:t>
      </w:r>
      <w:r w:rsidR="00246A57">
        <w:rPr>
          <w:color w:val="000000"/>
          <w:sz w:val="28"/>
          <w:szCs w:val="28"/>
        </w:rPr>
        <w:t xml:space="preserve">, </w:t>
      </w:r>
      <w:r>
        <w:rPr>
          <w:color w:val="000000"/>
          <w:sz w:val="28"/>
          <w:szCs w:val="28"/>
        </w:rPr>
        <w:t xml:space="preserve">los cálculos </w:t>
      </w:r>
      <w:r>
        <w:rPr>
          <w:color w:val="000000"/>
          <w:sz w:val="28"/>
          <w:szCs w:val="28"/>
        </w:rPr>
        <w:t xml:space="preserve">determinados para 2024 pueden consultarse en el </w:t>
      </w:r>
      <w:r>
        <w:rPr>
          <w:color w:val="000000"/>
          <w:sz w:val="28"/>
          <w:szCs w:val="28"/>
        </w:rPr>
        <w:t xml:space="preserve">documento   SEFYCU </w:t>
      </w:r>
      <w:r>
        <w:rPr>
          <w:color w:val="000055"/>
          <w:sz w:val="28"/>
          <w:szCs w:val="28"/>
        </w:rPr>
        <w:t>4795290</w:t>
      </w:r>
      <w:r>
        <w:rPr>
          <w:color w:val="000000"/>
          <w:sz w:val="28"/>
          <w:szCs w:val="28"/>
        </w:rPr>
        <w:t xml:space="preserve"> </w:t>
      </w:r>
      <w:r>
        <w:rPr>
          <w:color w:val="000000"/>
          <w:sz w:val="28"/>
          <w:szCs w:val="28"/>
        </w:rPr>
        <w:t xml:space="preserve">de 25 de </w:t>
      </w:r>
      <w:r>
        <w:rPr>
          <w:color w:val="000000"/>
          <w:sz w:val="28"/>
          <w:szCs w:val="28"/>
        </w:rPr>
        <w:t xml:space="preserve">marzo </w:t>
      </w:r>
      <w:r>
        <w:rPr>
          <w:color w:val="000000"/>
          <w:sz w:val="28"/>
          <w:szCs w:val="28"/>
        </w:rPr>
        <w:t xml:space="preserve">de 2024 </w:t>
      </w:r>
      <w:r>
        <w:rPr>
          <w:color w:val="000000"/>
          <w:sz w:val="28"/>
          <w:szCs w:val="28"/>
        </w:rPr>
        <w:t xml:space="preserve">AAAA AEXV UAVV 9JR2 3ZEU </w:t>
      </w:r>
      <w:hyperlink r:id="rId6" w:history="1">
        <w:r w:rsidR="00246A57" w:rsidRPr="00446BDF">
          <w:rPr>
            <w:rStyle w:val="Hipervnculo"/>
            <w:sz w:val="28"/>
            <w:szCs w:val="28"/>
          </w:rPr>
          <w:t>https://sede.dipualba.es/</w:t>
        </w:r>
      </w:hyperlink>
    </w:p>
    <w:p w14:paraId="76ACEE76" w14:textId="77777777" w:rsidR="00246A57" w:rsidRDefault="00246A57" w:rsidP="00246A57">
      <w:pPr>
        <w:shd w:val="clear" w:color="auto" w:fill="FFFFFF"/>
        <w:spacing w:line="276" w:lineRule="auto"/>
        <w:ind w:firstLine="709"/>
        <w:jc w:val="both"/>
        <w:rPr>
          <w:rStyle w:val="EnlacedeInternet"/>
          <w:color w:val="000000"/>
          <w:sz w:val="28"/>
          <w:szCs w:val="28"/>
        </w:rPr>
      </w:pPr>
    </w:p>
    <w:p w14:paraId="63E2A1DB" w14:textId="77777777" w:rsidR="00246A57" w:rsidRDefault="00246A57" w:rsidP="00246A57">
      <w:pPr>
        <w:shd w:val="clear" w:color="auto" w:fill="FFFFFF"/>
        <w:spacing w:line="276" w:lineRule="auto"/>
        <w:ind w:firstLine="709"/>
        <w:jc w:val="both"/>
        <w:rPr>
          <w:rStyle w:val="EnlacedeInternet"/>
          <w:color w:val="000000"/>
          <w:sz w:val="28"/>
          <w:szCs w:val="28"/>
        </w:rPr>
      </w:pPr>
    </w:p>
    <w:p w14:paraId="1FAEB98C" w14:textId="77777777" w:rsidR="00246A57" w:rsidRDefault="00246A57" w:rsidP="00246A57">
      <w:pPr>
        <w:shd w:val="clear" w:color="auto" w:fill="FFFFFF"/>
        <w:spacing w:line="276" w:lineRule="auto"/>
        <w:ind w:firstLine="709"/>
        <w:jc w:val="both"/>
        <w:rPr>
          <w:sz w:val="28"/>
          <w:szCs w:val="28"/>
        </w:rPr>
      </w:pPr>
    </w:p>
    <w:p w14:paraId="109BD232" w14:textId="77777777" w:rsidR="00661F84" w:rsidRDefault="00661F84">
      <w:pPr>
        <w:shd w:val="clear" w:color="auto" w:fill="FFFFFF"/>
        <w:spacing w:line="276" w:lineRule="auto"/>
        <w:jc w:val="both"/>
        <w:rPr>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46A57" w14:paraId="73103C6E" w14:textId="77777777" w:rsidTr="003A2C26">
        <w:tc>
          <w:tcPr>
            <w:tcW w:w="4814" w:type="dxa"/>
          </w:tcPr>
          <w:p w14:paraId="3F8944FC" w14:textId="77777777" w:rsidR="00246A57" w:rsidRDefault="00614245" w:rsidP="003A2C26">
            <w:pPr>
              <w:spacing w:line="276" w:lineRule="auto"/>
              <w:jc w:val="center"/>
              <w:rPr>
                <w:sz w:val="28"/>
                <w:szCs w:val="28"/>
              </w:rPr>
            </w:pPr>
            <w:r>
              <w:rPr>
                <w:sz w:val="28"/>
                <w:szCs w:val="28"/>
              </w:rPr>
              <w:t>PRESIDENTE DE LA DIPUTACIÓN PROVINCIAL DE ALBACETE</w:t>
            </w:r>
          </w:p>
          <w:p w14:paraId="74E11EFB" w14:textId="77777777" w:rsidR="003A2C26" w:rsidRDefault="003A2C26" w:rsidP="003A2C26">
            <w:pPr>
              <w:spacing w:line="276" w:lineRule="auto"/>
              <w:jc w:val="center"/>
              <w:rPr>
                <w:sz w:val="28"/>
                <w:szCs w:val="28"/>
              </w:rPr>
            </w:pPr>
          </w:p>
          <w:p w14:paraId="574C1A63" w14:textId="77777777" w:rsidR="003A2C26" w:rsidRDefault="003A2C26" w:rsidP="003A2C26">
            <w:pPr>
              <w:spacing w:line="276" w:lineRule="auto"/>
              <w:jc w:val="center"/>
              <w:rPr>
                <w:sz w:val="28"/>
                <w:szCs w:val="28"/>
              </w:rPr>
            </w:pPr>
          </w:p>
          <w:p w14:paraId="311262E7" w14:textId="77777777" w:rsidR="003A2C26" w:rsidRDefault="003A2C26" w:rsidP="003A2C26">
            <w:pPr>
              <w:spacing w:line="276" w:lineRule="auto"/>
              <w:jc w:val="center"/>
              <w:rPr>
                <w:sz w:val="28"/>
                <w:szCs w:val="28"/>
              </w:rPr>
            </w:pPr>
          </w:p>
          <w:p w14:paraId="3FE38540" w14:textId="77777777" w:rsidR="003A2C26" w:rsidRDefault="003A2C26" w:rsidP="003A2C26">
            <w:pPr>
              <w:spacing w:line="276" w:lineRule="auto"/>
              <w:jc w:val="center"/>
              <w:rPr>
                <w:sz w:val="28"/>
                <w:szCs w:val="28"/>
              </w:rPr>
            </w:pPr>
          </w:p>
          <w:p w14:paraId="256CF70C" w14:textId="77777777" w:rsidR="003A2C26" w:rsidRDefault="003A2C26" w:rsidP="003A2C26">
            <w:pPr>
              <w:spacing w:line="276" w:lineRule="auto"/>
              <w:jc w:val="center"/>
              <w:rPr>
                <w:sz w:val="28"/>
                <w:szCs w:val="28"/>
              </w:rPr>
            </w:pPr>
          </w:p>
          <w:p w14:paraId="3547E900" w14:textId="77777777" w:rsidR="003A2C26" w:rsidRDefault="003A2C26" w:rsidP="003A2C26">
            <w:pPr>
              <w:spacing w:line="276" w:lineRule="auto"/>
              <w:jc w:val="center"/>
              <w:rPr>
                <w:sz w:val="28"/>
                <w:szCs w:val="28"/>
              </w:rPr>
            </w:pPr>
          </w:p>
          <w:p w14:paraId="55E8A42E" w14:textId="4E072AA2" w:rsidR="003A2C26" w:rsidRDefault="003A2C26" w:rsidP="003A2C26">
            <w:pPr>
              <w:spacing w:line="276" w:lineRule="auto"/>
              <w:jc w:val="center"/>
              <w:rPr>
                <w:sz w:val="28"/>
                <w:szCs w:val="28"/>
              </w:rPr>
            </w:pPr>
            <w:r>
              <w:rPr>
                <w:sz w:val="28"/>
                <w:szCs w:val="28"/>
              </w:rPr>
              <w:t>SANTIAGO CABALLERO MASIP</w:t>
            </w:r>
          </w:p>
        </w:tc>
        <w:tc>
          <w:tcPr>
            <w:tcW w:w="4814" w:type="dxa"/>
          </w:tcPr>
          <w:p w14:paraId="153C6CA6" w14:textId="77777777" w:rsidR="00246A57" w:rsidRDefault="003A2C26" w:rsidP="003A2C26">
            <w:pPr>
              <w:spacing w:line="276" w:lineRule="auto"/>
              <w:jc w:val="center"/>
              <w:rPr>
                <w:sz w:val="28"/>
                <w:szCs w:val="28"/>
              </w:rPr>
            </w:pPr>
            <w:r>
              <w:rPr>
                <w:sz w:val="28"/>
                <w:szCs w:val="28"/>
              </w:rPr>
              <w:t>PRESIDENTE DEL CONSORCIO DEL CICLO INTEGRAL DEL AGUA DE USO URBANO EN EL PONIENTE ALMERIENSE</w:t>
            </w:r>
          </w:p>
          <w:p w14:paraId="67B8FE5C" w14:textId="77777777" w:rsidR="003A2C26" w:rsidRDefault="003A2C26" w:rsidP="003A2C26">
            <w:pPr>
              <w:spacing w:line="276" w:lineRule="auto"/>
              <w:jc w:val="center"/>
              <w:rPr>
                <w:sz w:val="28"/>
                <w:szCs w:val="28"/>
              </w:rPr>
            </w:pPr>
          </w:p>
          <w:p w14:paraId="729B08E2" w14:textId="77777777" w:rsidR="003A2C26" w:rsidRDefault="003A2C26" w:rsidP="003A2C26">
            <w:pPr>
              <w:spacing w:line="276" w:lineRule="auto"/>
              <w:jc w:val="center"/>
              <w:rPr>
                <w:sz w:val="28"/>
                <w:szCs w:val="28"/>
              </w:rPr>
            </w:pPr>
          </w:p>
          <w:p w14:paraId="551119FC" w14:textId="77777777" w:rsidR="003A2C26" w:rsidRDefault="003A2C26" w:rsidP="003A2C26">
            <w:pPr>
              <w:spacing w:line="276" w:lineRule="auto"/>
              <w:jc w:val="center"/>
              <w:rPr>
                <w:sz w:val="28"/>
                <w:szCs w:val="28"/>
              </w:rPr>
            </w:pPr>
          </w:p>
          <w:p w14:paraId="1088F352" w14:textId="77777777" w:rsidR="003A2C26" w:rsidRDefault="003A2C26" w:rsidP="003A2C26">
            <w:pPr>
              <w:spacing w:line="276" w:lineRule="auto"/>
              <w:jc w:val="center"/>
              <w:rPr>
                <w:sz w:val="28"/>
                <w:szCs w:val="28"/>
              </w:rPr>
            </w:pPr>
          </w:p>
          <w:p w14:paraId="58EF655B" w14:textId="55703720" w:rsidR="003A2C26" w:rsidRDefault="003A2C26" w:rsidP="003A2C26">
            <w:pPr>
              <w:spacing w:line="276" w:lineRule="auto"/>
              <w:jc w:val="center"/>
              <w:rPr>
                <w:sz w:val="28"/>
                <w:szCs w:val="28"/>
              </w:rPr>
            </w:pPr>
            <w:r>
              <w:rPr>
                <w:sz w:val="28"/>
                <w:szCs w:val="28"/>
              </w:rPr>
              <w:t>GABRIEL AMAT AYLLÓN</w:t>
            </w:r>
          </w:p>
        </w:tc>
      </w:tr>
    </w:tbl>
    <w:p w14:paraId="44DB9078" w14:textId="77777777" w:rsidR="00661F84" w:rsidRDefault="00661F84">
      <w:pPr>
        <w:shd w:val="clear" w:color="auto" w:fill="FFFFFF"/>
        <w:spacing w:line="276" w:lineRule="auto"/>
        <w:jc w:val="both"/>
        <w:rPr>
          <w:sz w:val="28"/>
          <w:szCs w:val="28"/>
        </w:rPr>
      </w:pPr>
    </w:p>
    <w:sectPr w:rsidR="00661F84">
      <w:headerReference w:type="default" r:id="rId7"/>
      <w:pgSz w:w="11906" w:h="16838"/>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6E73E" w14:textId="77777777" w:rsidR="00245C9C" w:rsidRDefault="00245C9C" w:rsidP="00245C9C">
      <w:r>
        <w:separator/>
      </w:r>
    </w:p>
  </w:endnote>
  <w:endnote w:type="continuationSeparator" w:id="0">
    <w:p w14:paraId="5466F88A" w14:textId="77777777" w:rsidR="00245C9C" w:rsidRDefault="00245C9C" w:rsidP="00245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E2395" w14:textId="77777777" w:rsidR="00245C9C" w:rsidRDefault="00245C9C" w:rsidP="00245C9C">
      <w:r>
        <w:separator/>
      </w:r>
    </w:p>
  </w:footnote>
  <w:footnote w:type="continuationSeparator" w:id="0">
    <w:p w14:paraId="4537248E" w14:textId="77777777" w:rsidR="00245C9C" w:rsidRDefault="00245C9C" w:rsidP="00245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8FE3F" w14:textId="34996FA8" w:rsidR="00245C9C" w:rsidRDefault="00245C9C" w:rsidP="00245C9C">
    <w:pPr>
      <w:pStyle w:val="Encabezado"/>
      <w:tabs>
        <w:tab w:val="clear" w:pos="4252"/>
        <w:tab w:val="clear" w:pos="8504"/>
        <w:tab w:val="left" w:pos="6240"/>
        <w:tab w:val="left" w:pos="8010"/>
      </w:tabs>
    </w:pPr>
    <w:r w:rsidRPr="00245C9C">
      <w:rPr>
        <w:noProof/>
      </w:rPr>
      <w:drawing>
        <wp:inline distT="0" distB="0" distL="0" distR="0" wp14:anchorId="173A8B54" wp14:editId="3B3F33C1">
          <wp:extent cx="1800225" cy="1584325"/>
          <wp:effectExtent l="0" t="0" r="9525" b="0"/>
          <wp:docPr id="15292552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584325"/>
                  </a:xfrm>
                  <a:prstGeom prst="rect">
                    <a:avLst/>
                  </a:prstGeom>
                  <a:noFill/>
                  <a:ln>
                    <a:noFill/>
                  </a:ln>
                </pic:spPr>
              </pic:pic>
            </a:graphicData>
          </a:graphic>
        </wp:inline>
      </w:drawing>
    </w:r>
    <w:r>
      <w:tab/>
    </w:r>
    <w:r>
      <w:rPr>
        <w:noProof/>
      </w:rPr>
      <w:drawing>
        <wp:inline distT="0" distB="0" distL="0" distR="0" wp14:anchorId="7D5D46AF" wp14:editId="02659B97">
          <wp:extent cx="1888921" cy="901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2">
                    <a:extLst>
                      <a:ext uri="{28A0092B-C50C-407E-A947-70E740481C1C}">
                        <a14:useLocalDpi xmlns:a14="http://schemas.microsoft.com/office/drawing/2010/main" val="0"/>
                      </a:ext>
                    </a:extLst>
                  </a:blip>
                  <a:srcRect l="11372" t="36163" r="15125" b="25763"/>
                  <a:stretch/>
                </pic:blipFill>
                <pic:spPr bwMode="auto">
                  <a:xfrm>
                    <a:off x="0" y="0"/>
                    <a:ext cx="2132159" cy="1017812"/>
                  </a:xfrm>
                  <a:prstGeom prst="rect">
                    <a:avLst/>
                  </a:prstGeom>
                  <a:ln>
                    <a:noFill/>
                  </a:ln>
                  <a:extLst>
                    <a:ext uri="{53640926-AAD7-44D8-BBD7-CCE9431645EC}">
                      <a14:shadowObscured xmlns:a14="http://schemas.microsoft.com/office/drawing/2010/main"/>
                    </a:ext>
                  </a:extLst>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84"/>
    <w:rsid w:val="00182072"/>
    <w:rsid w:val="00245C9C"/>
    <w:rsid w:val="00246A57"/>
    <w:rsid w:val="003478D7"/>
    <w:rsid w:val="003A2C26"/>
    <w:rsid w:val="00497666"/>
    <w:rsid w:val="00614245"/>
    <w:rsid w:val="00661F84"/>
    <w:rsid w:val="007242FA"/>
    <w:rsid w:val="00907A0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9DE2C"/>
  <w15:docId w15:val="{115E23F2-3CD0-4A48-9D01-DE2116F7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51D"/>
    <w:pPr>
      <w:overflowPunct w:val="0"/>
      <w:textAlignment w:val="baseline"/>
    </w:pPr>
    <w:rPr>
      <w:kern w:val="2"/>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paragraph" w:styleId="Ttulo">
    <w:name w:val="Title"/>
    <w:basedOn w:val="Normal"/>
    <w:next w:val="Textoindependiente"/>
    <w:qFormat/>
    <w:rsid w:val="0041051D"/>
    <w:pPr>
      <w:keepNext/>
      <w:spacing w:before="240" w:after="120"/>
    </w:pPr>
    <w:rPr>
      <w:rFonts w:ascii="Liberation Sans" w:eastAsia="Microsoft YaHei" w:hAnsi="Liberation Sans"/>
      <w:sz w:val="28"/>
      <w:szCs w:val="28"/>
    </w:rPr>
  </w:style>
  <w:style w:type="paragraph" w:styleId="Textoindependiente">
    <w:name w:val="Body Text"/>
    <w:basedOn w:val="Normal"/>
    <w:rsid w:val="0041051D"/>
    <w:pPr>
      <w:spacing w:after="140" w:line="288" w:lineRule="auto"/>
    </w:pPr>
  </w:style>
  <w:style w:type="paragraph" w:styleId="Lista">
    <w:name w:val="List"/>
    <w:basedOn w:val="Textoindependiente"/>
    <w:rsid w:val="0041051D"/>
  </w:style>
  <w:style w:type="paragraph" w:customStyle="1" w:styleId="Descripcin1">
    <w:name w:val="Descripción1"/>
    <w:basedOn w:val="Normal"/>
    <w:qFormat/>
    <w:rsid w:val="0041051D"/>
    <w:pPr>
      <w:suppressLineNumbers/>
      <w:spacing w:before="120" w:after="120"/>
    </w:pPr>
    <w:rPr>
      <w:i/>
      <w:iCs/>
    </w:rPr>
  </w:style>
  <w:style w:type="paragraph" w:customStyle="1" w:styleId="ndice">
    <w:name w:val="Índice"/>
    <w:basedOn w:val="Normal"/>
    <w:qFormat/>
    <w:rsid w:val="0041051D"/>
    <w:pPr>
      <w:suppressLineNumbers/>
    </w:pPr>
  </w:style>
  <w:style w:type="paragraph" w:customStyle="1" w:styleId="LO-Normal">
    <w:name w:val="LO-Normal"/>
    <w:qFormat/>
    <w:rsid w:val="0041051D"/>
    <w:pPr>
      <w:overflowPunct w:val="0"/>
      <w:textAlignment w:val="baseline"/>
    </w:pPr>
    <w:rPr>
      <w:kern w:val="2"/>
      <w:sz w:val="24"/>
      <w:szCs w:val="24"/>
      <w:lang w:eastAsia="zh-CN" w:bidi="hi-IN"/>
    </w:rPr>
  </w:style>
  <w:style w:type="paragraph" w:styleId="NormalWeb">
    <w:name w:val="Normal (Web)"/>
    <w:basedOn w:val="Normal"/>
    <w:qFormat/>
    <w:rsid w:val="0041051D"/>
    <w:pPr>
      <w:spacing w:after="95"/>
    </w:pPr>
    <w:rPr>
      <w:rFonts w:ascii="Times New Roman" w:eastAsia="Times New Roman" w:hAnsi="Times New Roman" w:cs="Times New Roman"/>
      <w:lang w:eastAsia="es-ES"/>
    </w:rPr>
  </w:style>
  <w:style w:type="paragraph" w:customStyle="1" w:styleId="Default">
    <w:name w:val="Default"/>
    <w:qFormat/>
    <w:rsid w:val="0041051D"/>
    <w:pPr>
      <w:widowControl w:val="0"/>
      <w:overflowPunct w:val="0"/>
      <w:textAlignment w:val="baseline"/>
    </w:pPr>
    <w:rPr>
      <w:rFonts w:ascii="Arial" w:eastAsia="Calibri" w:hAnsi="Arial" w:cs="F"/>
      <w:color w:val="000000"/>
      <w:kern w:val="2"/>
      <w:sz w:val="24"/>
      <w:szCs w:val="22"/>
      <w:lang w:eastAsia="en-US"/>
    </w:rPr>
  </w:style>
  <w:style w:type="paragraph" w:customStyle="1" w:styleId="Pa14">
    <w:name w:val="Pa14"/>
    <w:basedOn w:val="Default"/>
    <w:qFormat/>
    <w:rsid w:val="0041051D"/>
    <w:pPr>
      <w:spacing w:line="201" w:lineRule="atLeast"/>
    </w:pPr>
  </w:style>
  <w:style w:type="paragraph" w:customStyle="1" w:styleId="Pa6">
    <w:name w:val="Pa6"/>
    <w:basedOn w:val="Default"/>
    <w:qFormat/>
    <w:rsid w:val="0041051D"/>
    <w:pPr>
      <w:spacing w:line="201" w:lineRule="atLeast"/>
    </w:pPr>
  </w:style>
  <w:style w:type="paragraph" w:customStyle="1" w:styleId="Pa15">
    <w:name w:val="Pa15"/>
    <w:basedOn w:val="Default"/>
    <w:qFormat/>
    <w:rsid w:val="0041051D"/>
    <w:pPr>
      <w:spacing w:line="201" w:lineRule="atLeast"/>
    </w:pPr>
  </w:style>
  <w:style w:type="paragraph" w:styleId="Prrafodelista">
    <w:name w:val="List Paragraph"/>
    <w:basedOn w:val="LO-Normal1"/>
    <w:qFormat/>
    <w:pPr>
      <w:ind w:left="720"/>
    </w:pPr>
    <w:rPr>
      <w:szCs w:val="21"/>
    </w:rPr>
  </w:style>
  <w:style w:type="paragraph" w:customStyle="1" w:styleId="LO-Normal1">
    <w:name w:val="LO-Normal1"/>
    <w:qFormat/>
  </w:style>
  <w:style w:type="paragraph" w:styleId="Encabezado">
    <w:name w:val="header"/>
    <w:basedOn w:val="Normal"/>
    <w:link w:val="EncabezadoCar"/>
    <w:uiPriority w:val="99"/>
    <w:unhideWhenUsed/>
    <w:rsid w:val="00245C9C"/>
    <w:pPr>
      <w:tabs>
        <w:tab w:val="center" w:pos="4252"/>
        <w:tab w:val="right" w:pos="8504"/>
      </w:tabs>
    </w:pPr>
    <w:rPr>
      <w:szCs w:val="21"/>
    </w:rPr>
  </w:style>
  <w:style w:type="character" w:customStyle="1" w:styleId="EncabezadoCar">
    <w:name w:val="Encabezado Car"/>
    <w:basedOn w:val="Fuentedeprrafopredeter"/>
    <w:link w:val="Encabezado"/>
    <w:uiPriority w:val="99"/>
    <w:rsid w:val="00245C9C"/>
    <w:rPr>
      <w:kern w:val="2"/>
      <w:sz w:val="24"/>
      <w:szCs w:val="21"/>
      <w:lang w:eastAsia="zh-CN" w:bidi="hi-IN"/>
    </w:rPr>
  </w:style>
  <w:style w:type="paragraph" w:styleId="Piedepgina">
    <w:name w:val="footer"/>
    <w:basedOn w:val="Normal"/>
    <w:link w:val="PiedepginaCar"/>
    <w:uiPriority w:val="99"/>
    <w:unhideWhenUsed/>
    <w:rsid w:val="00245C9C"/>
    <w:pPr>
      <w:tabs>
        <w:tab w:val="center" w:pos="4252"/>
        <w:tab w:val="right" w:pos="8504"/>
      </w:tabs>
    </w:pPr>
    <w:rPr>
      <w:szCs w:val="21"/>
    </w:rPr>
  </w:style>
  <w:style w:type="character" w:customStyle="1" w:styleId="PiedepginaCar">
    <w:name w:val="Pie de página Car"/>
    <w:basedOn w:val="Fuentedeprrafopredeter"/>
    <w:link w:val="Piedepgina"/>
    <w:uiPriority w:val="99"/>
    <w:rsid w:val="00245C9C"/>
    <w:rPr>
      <w:kern w:val="2"/>
      <w:sz w:val="24"/>
      <w:szCs w:val="21"/>
      <w:lang w:eastAsia="zh-CN" w:bidi="hi-IN"/>
    </w:rPr>
  </w:style>
  <w:style w:type="character" w:styleId="Hipervnculo">
    <w:name w:val="Hyperlink"/>
    <w:basedOn w:val="Fuentedeprrafopredeter"/>
    <w:uiPriority w:val="99"/>
    <w:unhideWhenUsed/>
    <w:rsid w:val="00246A57"/>
    <w:rPr>
      <w:color w:val="0000FF" w:themeColor="hyperlink"/>
      <w:u w:val="single"/>
    </w:rPr>
  </w:style>
  <w:style w:type="character" w:styleId="Mencinsinresolver">
    <w:name w:val="Unresolved Mention"/>
    <w:basedOn w:val="Fuentedeprrafopredeter"/>
    <w:uiPriority w:val="99"/>
    <w:semiHidden/>
    <w:unhideWhenUsed/>
    <w:rsid w:val="00246A57"/>
    <w:rPr>
      <w:color w:val="605E5C"/>
      <w:shd w:val="clear" w:color="auto" w:fill="E1DFDD"/>
    </w:rPr>
  </w:style>
  <w:style w:type="table" w:styleId="Tablaconcuadrcula">
    <w:name w:val="Table Grid"/>
    <w:basedOn w:val="Tablanormal"/>
    <w:uiPriority w:val="59"/>
    <w:rsid w:val="00246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de.dipualba.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2412</Words>
  <Characters>13266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TESORERO</dc:creator>
  <dc:description/>
  <cp:lastModifiedBy>Carmen Pilar Pérez Pulido</cp:lastModifiedBy>
  <cp:revision>5</cp:revision>
  <dcterms:created xsi:type="dcterms:W3CDTF">2024-12-13T07:49:00Z</dcterms:created>
  <dcterms:modified xsi:type="dcterms:W3CDTF">2024-12-13T08:36:00Z</dcterms:modified>
  <dc:language>es-ES</dc:language>
</cp:coreProperties>
</file>