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3B5828B1" w14:textId="1E21494B" w:rsidR="001A1A24" w:rsidRDefault="001A1A24" w:rsidP="001A1A24">
      <w:pPr>
        <w:pStyle w:val="Formatolibre"/>
        <w:spacing w:line="276" w:lineRule="auto"/>
        <w:contextualSpacing/>
        <w:jc w:val="both"/>
        <w:rPr>
          <w:rFonts w:ascii="AytoRoquetas Light Condensed" w:eastAsia="Times New Roman" w:hAnsi="AytoRoquetas Light Condensed"/>
          <w:b/>
          <w:color w:val="auto"/>
          <w:sz w:val="26"/>
          <w:szCs w:val="26"/>
          <w:lang w:val="es-ES"/>
        </w:rPr>
      </w:pPr>
      <w:bookmarkStart w:id="0" w:name="_Hlk176953473"/>
      <w:r>
        <w:rPr>
          <w:rFonts w:ascii="AytoRoquetas Light Condensed" w:eastAsia="Times New Roman" w:hAnsi="AytoRoquetas Light Condensed"/>
          <w:b/>
          <w:color w:val="auto"/>
          <w:sz w:val="26"/>
          <w:szCs w:val="26"/>
          <w:lang w:val="es-ES"/>
        </w:rPr>
        <w:t xml:space="preserve">7º. PROPOSICIÓN relativa a la aprobación definitiva de la Cuenta General del ejercicio 2023. </w:t>
      </w:r>
    </w:p>
    <w:bookmarkEnd w:id="0"/>
    <w:p w14:paraId="1C00841A" w14:textId="39AEF707" w:rsidR="00746B15" w:rsidRDefault="00746B15" w:rsidP="00746B15">
      <w:pPr>
        <w:pStyle w:val="Textoindependiente"/>
        <w:spacing w:line="276" w:lineRule="auto"/>
        <w:rPr>
          <w:rFonts w:ascii="AytoRoquetas Light Condensed" w:hAnsi="AytoRoquetas Light Condensed"/>
          <w:sz w:val="26"/>
          <w:szCs w:val="26"/>
          <w:lang w:val="es-ES"/>
        </w:rPr>
      </w:pPr>
    </w:p>
    <w:p w14:paraId="08F9A262" w14:textId="77777777" w:rsidR="001A1A24" w:rsidRPr="00021D40" w:rsidRDefault="001A1A24" w:rsidP="001A1A24">
      <w:pPr>
        <w:pStyle w:val="Textoindependiente"/>
        <w:spacing w:line="276" w:lineRule="auto"/>
        <w:ind w:firstLine="708"/>
        <w:contextualSpacing/>
        <w:rPr>
          <w:rFonts w:ascii="AytoRoquetas Light Condensed" w:hAnsi="AytoRoquetas Light Condensed"/>
          <w:b w:val="0"/>
          <w:bCs/>
          <w:sz w:val="22"/>
          <w:szCs w:val="22"/>
        </w:rPr>
      </w:pPr>
      <w:r w:rsidRPr="00021D40">
        <w:rPr>
          <w:rFonts w:ascii="AytoRoquetas Light Condensed" w:hAnsi="AytoRoquetas Light Condensed"/>
          <w:b w:val="0"/>
          <w:bCs/>
          <w:sz w:val="22"/>
          <w:szCs w:val="22"/>
        </w:rPr>
        <w:t>La Junta General, en Sesión Ordinaria celebrada el 14 de agosto de 2024, adoptó el siguiente acuerdo:</w:t>
      </w:r>
    </w:p>
    <w:p w14:paraId="6BD73A61"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3AE77E98"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“Sobre la Cuenta General del ejercicio 2023, se da cuenta del informe de la intervención del Consorcio, de fecha 5 de mayo de 2023:</w:t>
      </w:r>
    </w:p>
    <w:p w14:paraId="5DF061A9"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69DF856E"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3F0EC286"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p>
    <w:p w14:paraId="3449684C"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Al día de la fecha no se encuentra constituido el Consejo de Participación Social, por lo que habrá de ser la Junta General del Consorcio quién examine las cuentas, se expongan a información pública y posteriormente apruebe las mismas.</w:t>
      </w:r>
    </w:p>
    <w:p w14:paraId="7F32E85F"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5F0990A0"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Confeccionados los estados que componen la Cuenta General de la Entidad Local, correspondiente al ejercicio 2023, y una vez llevada a cabo la comprobación y análisis de los mismos, preparada la documentación complementaria exigida por la normativa vigente y una vez aprobada la liquidación del presupuesto del ejercicio 2023, mediante Decreto de Presidencia de 8 de febrero de 2024,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r>
        <w:rPr>
          <w:rFonts w:ascii="AytoRoquetas Light Condensed" w:hAnsi="AytoRoquetas Light Condensed"/>
          <w:b w:val="0"/>
          <w:bCs/>
          <w:i/>
          <w:iCs/>
          <w:sz w:val="22"/>
          <w:szCs w:val="22"/>
        </w:rPr>
        <w:t xml:space="preserve"> </w:t>
      </w:r>
      <w:r w:rsidRPr="00021D40">
        <w:rPr>
          <w:rFonts w:ascii="AytoRoquetas Light Condensed" w:hAnsi="AytoRoquetas Light Condensed"/>
          <w:b w:val="0"/>
          <w:bCs/>
          <w:i/>
          <w:iCs/>
          <w:sz w:val="22"/>
          <w:szCs w:val="22"/>
        </w:rPr>
        <w:t>INFORME</w:t>
      </w:r>
    </w:p>
    <w:p w14:paraId="0CFE3DBE"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10935FEB"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PRIMERO. La Legislación aplicable es la siguiente:</w:t>
      </w:r>
    </w:p>
    <w:p w14:paraId="00D36F33"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4A5DAD2D"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Los artículos 22.2 e) y 116 de la Ley 7/1985, de 2 de abril, Reguladora de las Bases del Régimen Local.</w:t>
      </w:r>
    </w:p>
    <w:p w14:paraId="06C9734A"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Ley 40/2015, de 1 de octubre, de Régimen Jurídico del Sector Público.</w:t>
      </w:r>
    </w:p>
    <w:p w14:paraId="795897F3"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Los artículos 208 a 212 del Texto Refundido de la Ley Reguladora de las Haciendas Locales aprobado por Real Decreto Legislativo 2/2004, de 5 de marzo.</w:t>
      </w:r>
    </w:p>
    <w:p w14:paraId="56CA3CB6"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artículo 119.3 de la Ley 47/2003, de 26 de noviembre, General Presupuestaria.</w:t>
      </w:r>
    </w:p>
    <w:p w14:paraId="278800A3"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Las Reglas 44 y siguientes de la Orden HAP/1781/2013, de 20 de septiembre, por la que se aprueba la Instrucción del Modelo Normal de Contabilidad Local.</w:t>
      </w:r>
    </w:p>
    <w:p w14:paraId="6D562295"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Resolución de 28 de julio de 2006, de la Intervención General de la Administración del Estado, por la que se recomienda un formato normalizado de la cuenta general de las entidades locales en soporte informático que facilite su rendición.</w:t>
      </w:r>
    </w:p>
    <w:p w14:paraId="1C79929C"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La Orden EHA/3565/2008, de 3 de diciembre, por la que se Aprueba la Estructura de los Presupuestos de las Entidades Locales, modificada por la Orden HAP/419/2014, de 14 de marzo.</w:t>
      </w:r>
    </w:p>
    <w:p w14:paraId="7EFA3479"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5FBC02F0"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Convenio de 21 de abril de 2015, entre la Cámara de Cuentas de Andalucía y el Tribunal de Cuentas para la coordinación de la rendición telemática de las Cuentas Generales de las entidades locales andaluzas.</w:t>
      </w:r>
    </w:p>
    <w:p w14:paraId="4AC98A21"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30C4DEC5"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SEGUNDO.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0BA2E9AF"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03EBA84F"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02A487FD"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 xml:space="preserve">TERCERO.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w:t>
      </w:r>
      <w:r w:rsidRPr="00021D40">
        <w:rPr>
          <w:rFonts w:ascii="AytoRoquetas Light Condensed" w:hAnsi="AytoRoquetas Light Condensed"/>
          <w:b w:val="0"/>
          <w:bCs/>
          <w:i/>
          <w:iCs/>
          <w:sz w:val="22"/>
          <w:szCs w:val="22"/>
        </w:rPr>
        <w:lastRenderedPageBreak/>
        <w:t>incluirse en la cuenta general de la Administración Pública de adscripción, conforme al apartado cuarto del artículo 122 LRJSP.</w:t>
      </w:r>
    </w:p>
    <w:p w14:paraId="7D01AB9B"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44214A14"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CUARTO.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4C23B9E8"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119FCE8E"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QUINTO. Las cuentas anuales que integran la Cuenta de la propia entidad son las siguientes:</w:t>
      </w:r>
    </w:p>
    <w:p w14:paraId="32A1AA75" w14:textId="77777777" w:rsidR="001A1A24" w:rsidRDefault="001A1A24" w:rsidP="00746B15">
      <w:pPr>
        <w:pStyle w:val="Textoindependiente"/>
        <w:spacing w:line="276" w:lineRule="auto"/>
        <w:rPr>
          <w:rFonts w:ascii="AytoRoquetas Light Condensed" w:hAnsi="AytoRoquetas Light Condensed"/>
          <w:sz w:val="26"/>
          <w:szCs w:val="26"/>
          <w:lang w:val="es-ES"/>
        </w:rPr>
      </w:pPr>
    </w:p>
    <w:p w14:paraId="21CD2E88" w14:textId="395F6A87" w:rsidR="001A1A24" w:rsidRDefault="001A1A24" w:rsidP="00746B15">
      <w:pPr>
        <w:pStyle w:val="Textoindependiente"/>
        <w:spacing w:line="276" w:lineRule="auto"/>
        <w:rPr>
          <w:rFonts w:ascii="AytoRoquetas Light Condensed" w:hAnsi="AytoRoquetas Light Condensed"/>
          <w:b w:val="0"/>
          <w:bCs/>
          <w:i/>
          <w:iCs/>
          <w:sz w:val="22"/>
          <w:szCs w:val="22"/>
          <w:lang w:val="es-ES"/>
        </w:rPr>
      </w:pPr>
      <w:r w:rsidRPr="001A1A24">
        <w:rPr>
          <w:rFonts w:ascii="AytoRoquetas Light Condensed" w:hAnsi="AytoRoquetas Light Condensed"/>
          <w:b w:val="0"/>
          <w:bCs/>
          <w:i/>
          <w:iCs/>
          <w:sz w:val="22"/>
          <w:szCs w:val="22"/>
          <w:lang w:val="es-ES"/>
        </w:rPr>
        <w:t>El Balance</w:t>
      </w:r>
    </w:p>
    <w:p w14:paraId="012B1586" w14:textId="77777777" w:rsidR="001A1A24" w:rsidRDefault="001A1A24" w:rsidP="00746B15">
      <w:pPr>
        <w:pStyle w:val="Textoindependiente"/>
        <w:spacing w:line="276" w:lineRule="auto"/>
        <w:rPr>
          <w:rFonts w:ascii="AytoRoquetas Light Condensed" w:hAnsi="AytoRoquetas Light Condensed"/>
          <w:b w:val="0"/>
          <w:bCs/>
          <w:i/>
          <w:iCs/>
          <w:sz w:val="22"/>
          <w:szCs w:val="22"/>
          <w:lang w:val="es-ES"/>
        </w:rPr>
      </w:pPr>
    </w:p>
    <w:p w14:paraId="7278C671"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La Cuenta del resultado económico-patrimonial.</w:t>
      </w:r>
    </w:p>
    <w:p w14:paraId="1E61E4C0"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Estado de cambios en el patrimonio neto.</w:t>
      </w:r>
    </w:p>
    <w:p w14:paraId="2C914B6E"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Estado de flujos de efectivo.</w:t>
      </w:r>
    </w:p>
    <w:p w14:paraId="5D077ED8"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Estado de Liquidación del Presupuesto.</w:t>
      </w:r>
    </w:p>
    <w:p w14:paraId="039A140A"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La Memoria.</w:t>
      </w:r>
    </w:p>
    <w:p w14:paraId="48FF88DE"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0E328032"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A las cuentas anuales del Consorcio deberá unirse la siguiente documentación:</w:t>
      </w:r>
    </w:p>
    <w:p w14:paraId="426CC5F2"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61F2AF33"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Actas de arqueo de las existencias en Caja referidas a fin de ejercicio.</w:t>
      </w:r>
    </w:p>
    <w:p w14:paraId="36383303"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2509BAC1"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Acta de arqueo sólo ha de incluir las existencias en Caja a fin de ejercicio, y su comprobación con los datos que arroja la contabilidad. No forman parte del Acta de Arqueo las existencias en cuentas abiertas en entidades de crédito.</w:t>
      </w:r>
    </w:p>
    <w:p w14:paraId="014E4E97"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3429AD7B"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40152DA5" w14:textId="77777777" w:rsidR="00072C03" w:rsidRPr="00021D40" w:rsidRDefault="00072C03" w:rsidP="001A1A24">
      <w:pPr>
        <w:pStyle w:val="Textoindependiente"/>
        <w:spacing w:line="276" w:lineRule="auto"/>
        <w:contextualSpacing/>
        <w:rPr>
          <w:rFonts w:ascii="AytoRoquetas Light Condensed" w:hAnsi="AytoRoquetas Light Condensed"/>
          <w:b w:val="0"/>
          <w:bCs/>
          <w:i/>
          <w:iCs/>
          <w:sz w:val="22"/>
          <w:szCs w:val="22"/>
        </w:rPr>
      </w:pPr>
    </w:p>
    <w:p w14:paraId="3DF10B1F"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 xml:space="preserve">SEXTO. La aprobación de la Cuenta General es un acto esencial para la fiscalización por parte de los órganos de control externo y que no requiere de la conformidad de los obligados a su rendición, y que no genera </w:t>
      </w:r>
      <w:r w:rsidRPr="00021D40">
        <w:rPr>
          <w:rFonts w:ascii="AytoRoquetas Light Condensed" w:hAnsi="AytoRoquetas Light Condensed"/>
          <w:b w:val="0"/>
          <w:bCs/>
          <w:i/>
          <w:iCs/>
          <w:sz w:val="22"/>
          <w:szCs w:val="22"/>
        </w:rPr>
        <w:lastRenderedPageBreak/>
        <w:t>responsabilidad por razón de las mismas, en base a la Regla 50 de la de la Orden HAP/1781/2013, de 20 de septiembre, por la que se aprueba la Instrucción del Modelo Normal de Contabilidad Local.</w:t>
      </w:r>
    </w:p>
    <w:p w14:paraId="63447585"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545D5BF6"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SÉPTIMO.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1C9DD4BF"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6DF757D6"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 Se deberá remitir una vez aprobada definitivamente la Cuenta General del Consorcio al Ayuntamiento de Roquetas de Mar, para completar y remitir a la Cámara de Cuentas.</w:t>
      </w:r>
    </w:p>
    <w:p w14:paraId="44F18C47"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019F4A0D"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OCTAVO. Una vez formada y analizada la Cuenta General del ejercicio 2022, se procede al análisis y evaluación de las conclusiones y recomendaciones, de forma que se lleve a cabo una planificación del trabajo a realizar para implementar dichas recomendaciones.</w:t>
      </w:r>
    </w:p>
    <w:p w14:paraId="35B58F96" w14:textId="77777777" w:rsidR="001A1A24" w:rsidRDefault="001A1A24" w:rsidP="00746B15">
      <w:pPr>
        <w:pStyle w:val="Textoindependiente"/>
        <w:spacing w:line="276" w:lineRule="auto"/>
        <w:rPr>
          <w:rFonts w:ascii="AytoRoquetas Light Condensed" w:hAnsi="AytoRoquetas Light Condensed"/>
          <w:b w:val="0"/>
          <w:bCs/>
          <w:i/>
          <w:iCs/>
          <w:sz w:val="22"/>
          <w:szCs w:val="22"/>
          <w:lang w:val="es-ES"/>
        </w:rPr>
      </w:pPr>
    </w:p>
    <w:p w14:paraId="1C128523" w14:textId="08DAFFDB"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Consorcio deberá remitir al Ayuntamiento de Roquetas de Mar una vez aprobada la Cuenta General para su incorporación y remisión a la Cámara de Cuentas</w:t>
      </w:r>
    </w:p>
    <w:p w14:paraId="0D8A636A"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111488DE"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5BD35855"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55F08ABF"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Consorcio no dispone de un inventario de bienes, lo cual impide un adecuado registro contable del área de inmovilizado, al no poderse identificar, ni valorar los bienes y derechos que posee el Consorcio.</w:t>
      </w:r>
    </w:p>
    <w:p w14:paraId="0807A160"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w:t>
      </w:r>
    </w:p>
    <w:p w14:paraId="27C68724"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063B2A73"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 xml:space="preserve">Durante el ejercicio 2023, el Consorcio no ha dispuesto de más recursos humanos que los necesarios para prestar los servicios de Tesorería, Intervención y Secretaría, no disponiendo de otro personal que directa o indirectamente gestione el servicio púbico y efectúe el seguimiento y control de las concesionarias, las </w:t>
      </w:r>
      <w:r w:rsidRPr="00021D40">
        <w:rPr>
          <w:rFonts w:ascii="AytoRoquetas Light Condensed" w:hAnsi="AytoRoquetas Light Condensed"/>
          <w:b w:val="0"/>
          <w:bCs/>
          <w:i/>
          <w:iCs/>
          <w:sz w:val="22"/>
          <w:szCs w:val="22"/>
        </w:rPr>
        <w:lastRenderedPageBreak/>
        <w:t>funciones de seguimiento de los contratos de gestión de servicios públicos actualmente suscritos y el resto de obligaciones derivadas de las competencias propias del Consorcio se desarrollan por personal propio de las entidades consorciadas, transfiriendo este Consorcio el importe de las gratificaciones a este personal de apoyo a las entidades de las que dependen. En anteriores ejercicios se puso de manifiesto por parte de la Intervención que carece de sentido, en atención a los principios de eficacia y eficiencia del gasto público la creación de una Entidad que no posee recursos para cumplir con sus fines, recomendándose su transformación en Mancomunidad que preste los servicios de los tres Consorcios adscritos a este Ayuntamiento, tal como se recomienda mediante Decreto de 30 de junio de 2020, del Sr. Alcalde de Roquetas de Mar, notificado a los Presidentes de cada de los tres Consorcios, extremo éste que ya fue puesto de manifiesto por la Intervención con motivo de la aprobación de la Cuenta General del Consorcio correspondiente a los ejercicios 2020, 2021 y 2022, no obstante, y visto que el Ayuntamiento de Roquetas de Mar ha incorporado en el ejercicio 2024 a su plantilla de personal propio a cuatro funcionarios que ocupan puestos definidos en la RPT del Ayuntamiento de Servicios Interadministrativos cuyo gasto ha sido asumido por los Consorcios a los que se presta servicios por parte de dicho personal, habrá de ponderarse al cierre del ejercicio 2024 si dicha forma de gestión resulta más eficiente en cuanto a la adecuación de la asignación de los recursos públicos para el cumplimiento de los fines que se le asignan a la presente Entidad.</w:t>
      </w:r>
    </w:p>
    <w:p w14:paraId="26D8445D"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51C35B4E"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4E92B007"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Asimismo, es necesario concluir:</w:t>
      </w:r>
    </w:p>
    <w:p w14:paraId="4B2F69D9" w14:textId="77777777" w:rsidR="001A1A24" w:rsidRDefault="001A1A24" w:rsidP="00746B15">
      <w:pPr>
        <w:pStyle w:val="Textoindependiente"/>
        <w:spacing w:line="276" w:lineRule="auto"/>
        <w:rPr>
          <w:rFonts w:ascii="AytoRoquetas Light Condensed" w:hAnsi="AytoRoquetas Light Condensed"/>
          <w:b w:val="0"/>
          <w:bCs/>
          <w:i/>
          <w:iCs/>
          <w:sz w:val="22"/>
          <w:szCs w:val="22"/>
          <w:lang w:val="es-ES"/>
        </w:rPr>
      </w:pPr>
    </w:p>
    <w:p w14:paraId="1F7598DE"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Que se remiten todos los Estados Contables y la documentación complementaria exigidas por la normativa vigente.</w:t>
      </w:r>
    </w:p>
    <w:p w14:paraId="7D763D4F"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p>
    <w:p w14:paraId="3C1AF689"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Que los expedientes, documentos y libros mencionados en el Título II de la Instrucción de Contabilidad se encuentran a disposición del Tribunal de Cuentas.</w:t>
      </w:r>
    </w:p>
    <w:p w14:paraId="7170C2E7"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En virtud de todo lo expuesto en este Informe, procede tramitar la Cuenta General del Consorcio correspondientes al ejercicio 2023.</w:t>
      </w:r>
    </w:p>
    <w:p w14:paraId="0DF20FA8" w14:textId="77777777" w:rsidR="001A1A24" w:rsidRDefault="001A1A24" w:rsidP="001A1A24">
      <w:pPr>
        <w:pStyle w:val="Textoindependiente"/>
        <w:spacing w:line="276" w:lineRule="auto"/>
        <w:contextualSpacing/>
        <w:rPr>
          <w:rFonts w:ascii="AytoRoquetas Light Condensed" w:hAnsi="AytoRoquetas Light Condensed"/>
          <w:b w:val="0"/>
          <w:bCs/>
          <w:i/>
          <w:iCs/>
          <w:sz w:val="22"/>
          <w:szCs w:val="22"/>
        </w:rPr>
      </w:pPr>
    </w:p>
    <w:p w14:paraId="1A4F5DB3"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Es cuanto tengo el honor de informar, sin perjuicio de cualquier otra consideración mejor fundada en derecho.”</w:t>
      </w:r>
    </w:p>
    <w:p w14:paraId="71CA624F"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7C2A5912"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Vista la Cuenta del ejercicio 2023 formada por Intervención del Consorcio y sus documentos anexos, así como el informe emitido por la misma.</w:t>
      </w:r>
    </w:p>
    <w:p w14:paraId="7FA808C9"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De acuerdo con el contenido de los artículos 200 y siguientes del Texto Refundido de la Ley Reguladora de las Haciendas Locales aprobado por Real Decreto Legislativo 2/2004, la JUNTA GENERAL ha resuelto:</w:t>
      </w:r>
    </w:p>
    <w:p w14:paraId="6C6613F5"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23189178" w14:textId="2FCF2EA1" w:rsidR="001A1A24" w:rsidRPr="00021D40" w:rsidRDefault="00072C03" w:rsidP="001A1A24">
      <w:pPr>
        <w:pStyle w:val="Textoindependiente"/>
        <w:spacing w:line="276" w:lineRule="auto"/>
        <w:contextualSpacing/>
        <w:rPr>
          <w:rFonts w:ascii="AytoRoquetas Light Condensed" w:hAnsi="AytoRoquetas Light Condensed"/>
          <w:b w:val="0"/>
          <w:bCs/>
          <w:i/>
          <w:iCs/>
          <w:sz w:val="22"/>
          <w:szCs w:val="22"/>
        </w:rPr>
      </w:pPr>
      <w:r>
        <w:rPr>
          <w:rFonts w:ascii="AytoRoquetas Light Condensed" w:hAnsi="AytoRoquetas Light Condensed"/>
          <w:b w:val="0"/>
          <w:bCs/>
          <w:i/>
          <w:iCs/>
          <w:sz w:val="22"/>
          <w:szCs w:val="22"/>
        </w:rPr>
        <w:lastRenderedPageBreak/>
        <w:t>ÚNICO</w:t>
      </w:r>
      <w:r w:rsidR="001A1A24" w:rsidRPr="00021D40">
        <w:rPr>
          <w:rFonts w:ascii="AytoRoquetas Light Condensed" w:hAnsi="AytoRoquetas Light Condensed"/>
          <w:b w:val="0"/>
          <w:bCs/>
          <w:i/>
          <w:iCs/>
          <w:sz w:val="22"/>
          <w:szCs w:val="22"/>
        </w:rPr>
        <w:t>.- APROBAR DEFINITIVAMENTE la Cuenta General 2023.</w:t>
      </w:r>
    </w:p>
    <w:p w14:paraId="00917EFE"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6089E20E" w14:textId="77777777" w:rsidR="001A1A24" w:rsidRPr="00021D40" w:rsidRDefault="001A1A24" w:rsidP="001A1A24">
      <w:pPr>
        <w:pStyle w:val="Textoindependiente"/>
        <w:spacing w:line="276" w:lineRule="auto"/>
        <w:contextualSpacing/>
        <w:rPr>
          <w:rFonts w:ascii="AytoRoquetas Light Condensed" w:hAnsi="AytoRoquetas Light Condensed"/>
          <w:b w:val="0"/>
          <w:bCs/>
          <w:i/>
          <w:iCs/>
          <w:sz w:val="22"/>
          <w:szCs w:val="22"/>
        </w:rPr>
      </w:pPr>
    </w:p>
    <w:p w14:paraId="24B221E8" w14:textId="77777777" w:rsidR="001A1A24" w:rsidRPr="00D47BB5" w:rsidRDefault="001A1A24" w:rsidP="001A1A24">
      <w:pPr>
        <w:pStyle w:val="Formatolibre"/>
        <w:spacing w:line="276" w:lineRule="auto"/>
        <w:ind w:firstLine="708"/>
        <w:contextualSpacing/>
        <w:jc w:val="both"/>
        <w:rPr>
          <w:rFonts w:ascii="AytoRoquetas Light Condensed" w:eastAsia="Times New Roman" w:hAnsi="AytoRoquetas Light Condensed"/>
          <w:bCs/>
          <w:color w:val="auto"/>
          <w:sz w:val="22"/>
          <w:szCs w:val="22"/>
          <w:lang w:val="es-ES"/>
        </w:rPr>
      </w:pPr>
      <w:r w:rsidRPr="00D47BB5">
        <w:rPr>
          <w:rFonts w:ascii="AytoRoquetas Light Condensed" w:eastAsia="Times New Roman" w:hAnsi="AytoRoquetas Light Condensed"/>
          <w:bCs/>
          <w:color w:val="auto"/>
          <w:sz w:val="22"/>
          <w:szCs w:val="22"/>
          <w:lang w:val="es-ES"/>
        </w:rPr>
        <w:t xml:space="preserve">La JUNTA GENERAL </w:t>
      </w:r>
      <w:r>
        <w:rPr>
          <w:rFonts w:ascii="AytoRoquetas Light Condensed" w:eastAsia="Times New Roman" w:hAnsi="AytoRoquetas Light Condensed"/>
          <w:bCs/>
          <w:color w:val="auto"/>
          <w:sz w:val="22"/>
          <w:szCs w:val="22"/>
          <w:lang w:val="es-ES"/>
        </w:rPr>
        <w:t xml:space="preserve">acuerda aprobar la cuenta general del ejercicio 2023 en todos sus términos. </w:t>
      </w:r>
    </w:p>
    <w:p w14:paraId="0F53FB0F" w14:textId="77777777" w:rsidR="0052172B" w:rsidRDefault="0052172B" w:rsidP="0052172B">
      <w:pPr>
        <w:pStyle w:val="FreeForm"/>
        <w:spacing w:line="288" w:lineRule="auto"/>
        <w:jc w:val="both"/>
        <w:rPr>
          <w:rFonts w:ascii="AytoRoquetas Light Condensed" w:hAnsi="AytoRoquetas Light Condensed"/>
          <w:color w:val="auto"/>
          <w:sz w:val="22"/>
          <w:szCs w:val="22"/>
        </w:rPr>
      </w:pPr>
    </w:p>
    <w:p w14:paraId="094AF211" w14:textId="77777777" w:rsidR="001A1A24" w:rsidRDefault="001A1A24" w:rsidP="0052172B">
      <w:pPr>
        <w:pStyle w:val="FreeForm"/>
        <w:spacing w:line="288" w:lineRule="auto"/>
        <w:jc w:val="both"/>
        <w:rPr>
          <w:rFonts w:ascii="AytoRoquetas Light Condensed" w:hAnsi="AytoRoquetas Light Condensed"/>
          <w:color w:val="auto"/>
          <w:sz w:val="22"/>
          <w:szCs w:val="22"/>
        </w:rPr>
      </w:pPr>
    </w:p>
    <w:p w14:paraId="416E446B" w14:textId="77777777" w:rsidR="00072C03" w:rsidRDefault="00072C03" w:rsidP="00086D62">
      <w:pPr>
        <w:pStyle w:val="Default"/>
        <w:spacing w:line="288" w:lineRule="auto"/>
        <w:ind w:firstLine="1134"/>
        <w:contextualSpacing/>
        <w:jc w:val="both"/>
        <w:rPr>
          <w:rFonts w:cs="Frutiger Light Condensed"/>
          <w:b/>
          <w:bCs/>
          <w:color w:val="auto"/>
          <w:sz w:val="22"/>
          <w:szCs w:val="22"/>
        </w:rPr>
      </w:pPr>
    </w:p>
    <w:p w14:paraId="253F6EC4" w14:textId="3A3C96B4"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1"/>
  </w:num>
  <w:num w:numId="5" w16cid:durableId="905068301">
    <w:abstractNumId w:val="8"/>
  </w:num>
  <w:num w:numId="6" w16cid:durableId="1493254677">
    <w:abstractNumId w:val="9"/>
  </w:num>
  <w:num w:numId="7" w16cid:durableId="1852914155">
    <w:abstractNumId w:val="7"/>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0"/>
  </w:num>
  <w:num w:numId="13" w16cid:durableId="1212959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72C03"/>
    <w:rsid w:val="00082F70"/>
    <w:rsid w:val="00086CE9"/>
    <w:rsid w:val="00086D62"/>
    <w:rsid w:val="000909A5"/>
    <w:rsid w:val="000D07B3"/>
    <w:rsid w:val="000E51A0"/>
    <w:rsid w:val="00122CBA"/>
    <w:rsid w:val="00170E73"/>
    <w:rsid w:val="0019249B"/>
    <w:rsid w:val="001A1A24"/>
    <w:rsid w:val="001A725E"/>
    <w:rsid w:val="001B7028"/>
    <w:rsid w:val="001D5D29"/>
    <w:rsid w:val="001F2BFC"/>
    <w:rsid w:val="00204985"/>
    <w:rsid w:val="00210CAA"/>
    <w:rsid w:val="0021394F"/>
    <w:rsid w:val="00221125"/>
    <w:rsid w:val="002A4E53"/>
    <w:rsid w:val="002B1A9B"/>
    <w:rsid w:val="003645B5"/>
    <w:rsid w:val="00365163"/>
    <w:rsid w:val="00373889"/>
    <w:rsid w:val="00373EF2"/>
    <w:rsid w:val="003824DD"/>
    <w:rsid w:val="003F006F"/>
    <w:rsid w:val="00473225"/>
    <w:rsid w:val="00496A95"/>
    <w:rsid w:val="004B7729"/>
    <w:rsid w:val="004D7F72"/>
    <w:rsid w:val="004F7E8C"/>
    <w:rsid w:val="0052172B"/>
    <w:rsid w:val="00537205"/>
    <w:rsid w:val="00552A73"/>
    <w:rsid w:val="005D6A7E"/>
    <w:rsid w:val="005D7CEB"/>
    <w:rsid w:val="005E75B0"/>
    <w:rsid w:val="00746B15"/>
    <w:rsid w:val="007829A7"/>
    <w:rsid w:val="00785DF0"/>
    <w:rsid w:val="00790C3A"/>
    <w:rsid w:val="00827E32"/>
    <w:rsid w:val="00832717"/>
    <w:rsid w:val="00833E16"/>
    <w:rsid w:val="00852E8C"/>
    <w:rsid w:val="0087188D"/>
    <w:rsid w:val="008743DE"/>
    <w:rsid w:val="008761D5"/>
    <w:rsid w:val="00876EE6"/>
    <w:rsid w:val="00964C30"/>
    <w:rsid w:val="00976EB1"/>
    <w:rsid w:val="009934B8"/>
    <w:rsid w:val="00A6296E"/>
    <w:rsid w:val="00A813E2"/>
    <w:rsid w:val="00B036B7"/>
    <w:rsid w:val="00BB31B8"/>
    <w:rsid w:val="00BB5729"/>
    <w:rsid w:val="00BF0BD7"/>
    <w:rsid w:val="00BF1717"/>
    <w:rsid w:val="00C276AC"/>
    <w:rsid w:val="00C32D58"/>
    <w:rsid w:val="00C71CF9"/>
    <w:rsid w:val="00C95F99"/>
    <w:rsid w:val="00C96C71"/>
    <w:rsid w:val="00D321B5"/>
    <w:rsid w:val="00D43BDD"/>
    <w:rsid w:val="00DC2C1A"/>
    <w:rsid w:val="00DD6B08"/>
    <w:rsid w:val="00DE5159"/>
    <w:rsid w:val="00E03B8A"/>
    <w:rsid w:val="00E05709"/>
    <w:rsid w:val="00E13452"/>
    <w:rsid w:val="00E17125"/>
    <w:rsid w:val="00E93D42"/>
    <w:rsid w:val="00EE6353"/>
    <w:rsid w:val="00EF7228"/>
    <w:rsid w:val="00F12CCA"/>
    <w:rsid w:val="00F45567"/>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2299</Words>
  <Characters>11902</Characters>
  <Application>Microsoft Office Word</Application>
  <DocSecurity>0</DocSecurity>
  <Lines>99</Lines>
  <Paragraphs>28</Paragraphs>
  <ScaleCrop>false</ScaleCrop>
  <Company/>
  <LinksUpToDate>false</LinksUpToDate>
  <CharactersWithSpaces>14173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25</cp:revision>
  <dcterms:created xsi:type="dcterms:W3CDTF">2024-09-11T07:57:00Z</dcterms:created>
  <dcterms:modified xsi:type="dcterms:W3CDTF">2025-01-21T09:21:00Z</dcterms:modified>
</cp:coreProperties>
</file>