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Según la Ordenanza de vertidos a la red de alcantarillado del Consorcio  (B.O.P. de Almería Nª 149, de 05 de agosto de 2021), se adjunta, las actuaciones realizadas por la Unidad de Control de Vertidos ?INFORME ACTIVIDAD MENSUAL MARZO ABRIL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Destacan, asesoramiento, inspección  y seguimiento en la adecuación del vertido de empresas, la elaboración de propuestas de autorización de vertido, y propuestas de denegación, la incoación de expedientes de autorización de vertido. Caracterización de Estaciones de Muestreo y otros puntos de control en red. Para identificar los orígenes de la contaminación potencial de la red de saneamiento y  reducirla.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Reduciendo el deterioro de las infraestructuras y garantizando un influente en la EDAR conforme a sus parámetros de funcionamiento que permita  la reutilización del efluente para riego. Quedo a su disposición,   Atentamente,    Sabina Torralba</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