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CBDB2" w14:textId="1A4B972F" w:rsidR="00DB61DB" w:rsidRPr="00F51B44" w:rsidRDefault="00DB61DB" w:rsidP="0061024C">
      <w:pPr>
        <w:spacing w:before="120" w:after="120" w:line="240" w:lineRule="auto"/>
        <w:jc w:val="both"/>
        <w:rPr>
          <w:rFonts w:ascii="AytoRoquetas Light Condensed" w:eastAsia="Times New Roman" w:hAnsi="AytoRoquetas Light Condensed" w:cs="Times New Roman"/>
          <w:b/>
          <w:sz w:val="20"/>
          <w:szCs w:val="20"/>
        </w:rPr>
      </w:pPr>
      <w:r w:rsidRPr="00F51B44">
        <w:rPr>
          <w:rFonts w:ascii="AytoRoquetas Light Condensed" w:eastAsia="Times New Roman" w:hAnsi="AytoRoquetas Light Condensed" w:cs="Times New Roman"/>
          <w:b/>
          <w:sz w:val="20"/>
          <w:szCs w:val="20"/>
        </w:rPr>
        <w:t>EXP: 202</w:t>
      </w:r>
      <w:r w:rsidR="005C13AA">
        <w:rPr>
          <w:rFonts w:ascii="AytoRoquetas Light Condensed" w:eastAsia="Times New Roman" w:hAnsi="AytoRoquetas Light Condensed" w:cs="Times New Roman"/>
          <w:b/>
          <w:sz w:val="20"/>
          <w:szCs w:val="20"/>
        </w:rPr>
        <w:t>5</w:t>
      </w:r>
      <w:r w:rsidRPr="00F51B44">
        <w:rPr>
          <w:rFonts w:ascii="AytoRoquetas Light Condensed" w:eastAsia="Times New Roman" w:hAnsi="AytoRoquetas Light Condensed" w:cs="Times New Roman"/>
          <w:b/>
          <w:sz w:val="20"/>
          <w:szCs w:val="20"/>
        </w:rPr>
        <w:t>/</w:t>
      </w:r>
      <w:r w:rsidR="005C13AA">
        <w:rPr>
          <w:rFonts w:ascii="AytoRoquetas Light Condensed" w:eastAsia="Times New Roman" w:hAnsi="AytoRoquetas Light Condensed" w:cs="Times New Roman"/>
          <w:b/>
          <w:sz w:val="20"/>
          <w:szCs w:val="20"/>
        </w:rPr>
        <w:t>21</w:t>
      </w:r>
      <w:r w:rsidRPr="00F51B44">
        <w:rPr>
          <w:rFonts w:ascii="AytoRoquetas Light Condensed" w:eastAsia="Times New Roman" w:hAnsi="AytoRoquetas Light Condensed" w:cs="Times New Roman"/>
          <w:b/>
          <w:sz w:val="20"/>
          <w:szCs w:val="20"/>
        </w:rPr>
        <w:t>-LIQUIDACION 202</w:t>
      </w:r>
      <w:r w:rsidR="005C13AA">
        <w:rPr>
          <w:rFonts w:ascii="AytoRoquetas Light Condensed" w:eastAsia="Times New Roman" w:hAnsi="AytoRoquetas Light Condensed" w:cs="Times New Roman"/>
          <w:b/>
          <w:sz w:val="20"/>
          <w:szCs w:val="20"/>
        </w:rPr>
        <w:t>4</w:t>
      </w:r>
    </w:p>
    <w:p w14:paraId="5C5E8933" w14:textId="77777777" w:rsidR="00DB61DB" w:rsidRPr="00F51B44" w:rsidRDefault="00DB61DB" w:rsidP="0061024C">
      <w:pPr>
        <w:spacing w:before="120" w:after="120" w:line="240" w:lineRule="auto"/>
        <w:jc w:val="both"/>
        <w:rPr>
          <w:rFonts w:ascii="AytoRoquetas Light Condensed" w:eastAsia="Times New Roman" w:hAnsi="AytoRoquetas Light Condensed" w:cs="Times New Roman"/>
          <w:b/>
          <w:sz w:val="20"/>
          <w:szCs w:val="20"/>
        </w:rPr>
      </w:pPr>
    </w:p>
    <w:p w14:paraId="05D5EE89" w14:textId="49805AB8" w:rsidR="0061024C" w:rsidRPr="00F51B44" w:rsidRDefault="0061024C" w:rsidP="0061024C">
      <w:pPr>
        <w:spacing w:before="120" w:after="120" w:line="240" w:lineRule="auto"/>
        <w:jc w:val="both"/>
        <w:rPr>
          <w:rFonts w:ascii="AytoRoquetas Light Condensed" w:eastAsia="Times New Roman" w:hAnsi="AytoRoquetas Light Condensed" w:cs="Times New Roman"/>
          <w:b/>
          <w:sz w:val="20"/>
          <w:szCs w:val="20"/>
        </w:rPr>
      </w:pPr>
      <w:r w:rsidRPr="00F51B44">
        <w:rPr>
          <w:rFonts w:ascii="AytoRoquetas Light Condensed" w:eastAsia="Times New Roman" w:hAnsi="AytoRoquetas Light Condensed" w:cs="Times New Roman"/>
          <w:b/>
          <w:sz w:val="20"/>
          <w:szCs w:val="20"/>
        </w:rPr>
        <w:t xml:space="preserve">INFORME INTERVENCIÓN DE EVALUACIÓN DEL CUMPLIMIENTO DEL OBJETIVO DE ESTABILIDAD PRSUPUESTARIA, REGLA DEL GASTO Y DEL LÍMITE DE DEUDA CON MOTIVO DE LA APROBACIÓN DE LA LIQUIDACIÓN DEL PRESUPUESTO </w:t>
      </w:r>
      <w:r w:rsidR="005C13AA">
        <w:rPr>
          <w:rFonts w:ascii="AytoRoquetas Light Condensed" w:eastAsia="Times New Roman" w:hAnsi="AytoRoquetas Light Condensed" w:cs="Times New Roman"/>
          <w:b/>
          <w:sz w:val="20"/>
          <w:szCs w:val="20"/>
        </w:rPr>
        <w:t>2024</w:t>
      </w:r>
      <w:r w:rsidRPr="00F51B44">
        <w:rPr>
          <w:rFonts w:ascii="AytoRoquetas Light Condensed" w:eastAsia="Times New Roman" w:hAnsi="AytoRoquetas Light Condensed" w:cs="Times New Roman"/>
          <w:b/>
          <w:sz w:val="20"/>
          <w:szCs w:val="20"/>
        </w:rPr>
        <w:t xml:space="preserve"> DEL CONSORCIO DE SERVICIOS INTEGRADOS DE ABASTECIMIENTO DE AGUAS Y SANEAMIENTO DEL PONIENTE (ALMERIA).</w:t>
      </w:r>
    </w:p>
    <w:p w14:paraId="7B2CA075" w14:textId="77777777" w:rsidR="0061024C" w:rsidRPr="00F51B44" w:rsidRDefault="0061024C" w:rsidP="0061024C">
      <w:pPr>
        <w:spacing w:before="120" w:after="120" w:line="240" w:lineRule="auto"/>
        <w:jc w:val="both"/>
        <w:rPr>
          <w:rFonts w:ascii="AytoRoquetas Light Condensed" w:eastAsia="Times New Roman" w:hAnsi="AytoRoquetas Light Condensed" w:cs="Times New Roman"/>
          <w:sz w:val="20"/>
          <w:szCs w:val="20"/>
        </w:rPr>
      </w:pPr>
      <w:r w:rsidRPr="00F51B44">
        <w:rPr>
          <w:rFonts w:ascii="AytoRoquetas Light Condensed" w:eastAsia="Times New Roman" w:hAnsi="AytoRoquetas Light Condensed" w:cs="Times New Roman"/>
          <w:sz w:val="20"/>
          <w:szCs w:val="20"/>
        </w:rPr>
        <w:t xml:space="preserve"> </w:t>
      </w:r>
    </w:p>
    <w:p w14:paraId="14745F6F" w14:textId="042E35FF" w:rsidR="0061024C" w:rsidRPr="00F51B44" w:rsidRDefault="0061024C" w:rsidP="0061024C">
      <w:pPr>
        <w:spacing w:before="120" w:after="120" w:line="240" w:lineRule="auto"/>
        <w:jc w:val="both"/>
        <w:rPr>
          <w:rFonts w:ascii="AytoRoquetas Light Condensed" w:eastAsia="Times New Roman" w:hAnsi="AytoRoquetas Light Condensed" w:cs="Times New Roman"/>
          <w:b/>
          <w:sz w:val="20"/>
          <w:szCs w:val="20"/>
        </w:rPr>
      </w:pPr>
      <w:r w:rsidRPr="00F51B44">
        <w:rPr>
          <w:rFonts w:ascii="AytoRoquetas Light Condensed" w:eastAsia="Times New Roman" w:hAnsi="AytoRoquetas Light Condensed" w:cs="Times New Roman"/>
          <w:sz w:val="20"/>
          <w:szCs w:val="20"/>
        </w:rPr>
        <w:t xml:space="preserve">Conforme a lo previsto en los artículos 191 y siguientes del R.D.L. 2/2004, de 5 de marzo, por el que se aprueba el Texto Refundido de la Ley de Haciendas Locales, se ha efectuado la liquidación del Presupuesto del </w:t>
      </w:r>
      <w:r w:rsidRPr="00F51B44">
        <w:rPr>
          <w:rFonts w:ascii="AytoRoquetas Light Condensed" w:eastAsia="Times New Roman" w:hAnsi="AytoRoquetas Light Condensed" w:cs="Times New Roman"/>
          <w:b/>
          <w:sz w:val="20"/>
          <w:szCs w:val="20"/>
        </w:rPr>
        <w:t xml:space="preserve">Consorcio de Gestión de Servicios Integrados de Abastecimiento de Aguas y Saneamiento del Poniente Almeriense (CIAP) correspondiente al Ejercicio </w:t>
      </w:r>
      <w:r w:rsidR="005C13AA">
        <w:rPr>
          <w:rFonts w:ascii="AytoRoquetas Light Condensed" w:eastAsia="Times New Roman" w:hAnsi="AytoRoquetas Light Condensed" w:cs="Times New Roman"/>
          <w:b/>
          <w:sz w:val="20"/>
          <w:szCs w:val="20"/>
        </w:rPr>
        <w:t>2024</w:t>
      </w:r>
      <w:r w:rsidRPr="00F51B44">
        <w:rPr>
          <w:rFonts w:ascii="AytoRoquetas Light Condensed" w:eastAsia="Times New Roman" w:hAnsi="AytoRoquetas Light Condensed" w:cs="Times New Roman"/>
          <w:b/>
          <w:sz w:val="20"/>
          <w:szCs w:val="20"/>
        </w:rPr>
        <w:t>.</w:t>
      </w:r>
    </w:p>
    <w:p w14:paraId="062B92FC" w14:textId="61A1BA49" w:rsidR="0061024C" w:rsidRPr="00F51B44" w:rsidRDefault="0061024C" w:rsidP="0061024C">
      <w:pPr>
        <w:spacing w:before="120" w:after="120" w:line="240" w:lineRule="auto"/>
        <w:jc w:val="both"/>
        <w:rPr>
          <w:rFonts w:ascii="AytoRoquetas Light Condensed" w:eastAsia="Times New Roman" w:hAnsi="AytoRoquetas Light Condensed" w:cs="Times New Roman"/>
          <w:sz w:val="20"/>
          <w:szCs w:val="20"/>
        </w:rPr>
      </w:pPr>
      <w:r w:rsidRPr="00F51B44">
        <w:rPr>
          <w:rFonts w:ascii="AytoRoquetas Light Condensed" w:eastAsia="Times New Roman" w:hAnsi="AytoRoquetas Light Condensed" w:cs="Times New Roman"/>
          <w:sz w:val="20"/>
          <w:szCs w:val="20"/>
        </w:rPr>
        <w:t>Vista la documentación que integra la liquidación del Presupuesto, en cumplimiento de lo preceptuado en el apartado 1 del Art. 16 del Real Decreto 1463/2007, de 2 de noviembre, por el que se aprueba el Reglamento de desarrollo de la Ley 18/2001, de 12 de diciembre, de Estabilidad presupuestaria, en su aplicación a las entidades locales, sobre el cumplimiento del objetivo de estabilidad.</w:t>
      </w:r>
    </w:p>
    <w:p w14:paraId="50B27C3A" w14:textId="247B0824" w:rsidR="0061024C" w:rsidRPr="00F51B44" w:rsidRDefault="0061024C" w:rsidP="0061024C">
      <w:pPr>
        <w:spacing w:before="120" w:after="120" w:line="240" w:lineRule="auto"/>
        <w:jc w:val="both"/>
        <w:rPr>
          <w:rFonts w:ascii="AytoRoquetas Light Condensed" w:eastAsia="Times New Roman" w:hAnsi="AytoRoquetas Light Condensed" w:cs="Times New Roman"/>
          <w:sz w:val="20"/>
          <w:szCs w:val="20"/>
        </w:rPr>
      </w:pPr>
      <w:r w:rsidRPr="00F51B44">
        <w:rPr>
          <w:rFonts w:ascii="AytoRoquetas Light Condensed" w:eastAsia="Times New Roman" w:hAnsi="AytoRoquetas Light Condensed" w:cs="Times New Roman"/>
          <w:sz w:val="20"/>
          <w:szCs w:val="20"/>
        </w:rPr>
        <w:t>El órgano de Intervención del CIAP, en virtud de las atribuciones de control citadas y establecidas en el artículo 213 del Texto Refundido de la Ley Reguladora de las Haciendas Locales aprobado por el Real Decreto Legislativo 2/2004, de 5 de marzo y desarrolladas por el Real Decreto 424/2017, de 28 de abril, por el que se regula el régimen jurídico del control interno en las entidades del Sector Público Local; y en atención a las facultades recogidas en el artículo 4.1.b.6º del Real Decreto 128/2018, de 16 de marzo, por el que se regula el Régimen Jurídico de los Funcionarios de Administración Local con habilitación de carácter nacional, emito el siguiente:</w:t>
      </w:r>
    </w:p>
    <w:p w14:paraId="6A549D20" w14:textId="36563D34" w:rsidR="0061024C" w:rsidRPr="00F51B44" w:rsidRDefault="0061024C" w:rsidP="005F34BB">
      <w:pPr>
        <w:spacing w:before="120" w:after="120" w:line="240" w:lineRule="auto"/>
        <w:jc w:val="center"/>
        <w:rPr>
          <w:rFonts w:ascii="AytoRoquetas Light Condensed" w:eastAsia="Times New Roman" w:hAnsi="AytoRoquetas Light Condensed" w:cs="Times New Roman"/>
          <w:b/>
          <w:sz w:val="20"/>
          <w:szCs w:val="20"/>
          <w:u w:val="single"/>
        </w:rPr>
      </w:pPr>
      <w:r w:rsidRPr="00F51B44">
        <w:rPr>
          <w:rFonts w:ascii="AytoRoquetas Light Condensed" w:eastAsia="Times New Roman" w:hAnsi="AytoRoquetas Light Condensed" w:cs="Times New Roman"/>
          <w:b/>
          <w:sz w:val="20"/>
          <w:szCs w:val="20"/>
          <w:u w:val="single"/>
        </w:rPr>
        <w:t>INFORME</w:t>
      </w:r>
      <w:r w:rsidR="005F34BB" w:rsidRPr="00F51B44">
        <w:rPr>
          <w:rFonts w:ascii="AytoRoquetas Light Condensed" w:eastAsia="Times New Roman" w:hAnsi="AytoRoquetas Light Condensed" w:cs="Times New Roman"/>
          <w:b/>
          <w:sz w:val="20"/>
          <w:szCs w:val="20"/>
          <w:u w:val="single"/>
        </w:rPr>
        <w:t>:</w:t>
      </w:r>
    </w:p>
    <w:p w14:paraId="2576C3C4" w14:textId="77777777" w:rsidR="005F34BB" w:rsidRPr="00F51B44" w:rsidRDefault="005F34BB" w:rsidP="005F34BB">
      <w:pPr>
        <w:spacing w:before="120" w:after="120" w:line="240" w:lineRule="auto"/>
        <w:jc w:val="center"/>
        <w:rPr>
          <w:rFonts w:ascii="AytoRoquetas Light Condensed" w:eastAsia="Times New Roman" w:hAnsi="AytoRoquetas Light Condensed" w:cs="Times New Roman"/>
          <w:b/>
          <w:sz w:val="20"/>
          <w:szCs w:val="20"/>
          <w:u w:val="single"/>
        </w:rPr>
      </w:pPr>
    </w:p>
    <w:p w14:paraId="4B1CCF95" w14:textId="77777777" w:rsidR="0061024C" w:rsidRPr="00F51B44" w:rsidRDefault="0061024C" w:rsidP="0061024C">
      <w:pPr>
        <w:spacing w:before="120" w:after="120" w:line="240" w:lineRule="auto"/>
        <w:jc w:val="both"/>
        <w:rPr>
          <w:rFonts w:ascii="AytoRoquetas Light Condensed" w:eastAsia="Times New Roman" w:hAnsi="AytoRoquetas Light Condensed" w:cs="Times New Roman"/>
          <w:b/>
          <w:bCs/>
          <w:sz w:val="20"/>
          <w:szCs w:val="20"/>
        </w:rPr>
      </w:pPr>
      <w:r w:rsidRPr="00F51B44">
        <w:rPr>
          <w:rFonts w:ascii="AytoRoquetas Light Condensed" w:eastAsia="Times New Roman" w:hAnsi="AytoRoquetas Light Condensed" w:cs="Times New Roman"/>
          <w:b/>
          <w:bCs/>
          <w:sz w:val="20"/>
          <w:szCs w:val="20"/>
        </w:rPr>
        <w:t>PRIMERO. LEGISLACIÓN APLICABLE</w:t>
      </w:r>
    </w:p>
    <w:p w14:paraId="2B5463BE" w14:textId="77777777" w:rsidR="0061024C" w:rsidRPr="00F51B44" w:rsidRDefault="0061024C" w:rsidP="0061024C">
      <w:pPr>
        <w:numPr>
          <w:ilvl w:val="0"/>
          <w:numId w:val="1"/>
        </w:numPr>
        <w:spacing w:before="120" w:after="120" w:line="240" w:lineRule="auto"/>
        <w:jc w:val="both"/>
        <w:rPr>
          <w:rFonts w:ascii="AytoRoquetas Light Condensed" w:eastAsia="Times New Roman" w:hAnsi="AytoRoquetas Light Condensed" w:cs="Times New Roman"/>
          <w:sz w:val="20"/>
          <w:szCs w:val="20"/>
        </w:rPr>
      </w:pPr>
      <w:r w:rsidRPr="00F51B44">
        <w:rPr>
          <w:rFonts w:ascii="AytoRoquetas Light Condensed" w:eastAsia="Times New Roman" w:hAnsi="AytoRoquetas Light Condensed" w:cs="Times New Roman"/>
          <w:sz w:val="20"/>
          <w:szCs w:val="20"/>
        </w:rPr>
        <w:t>Ley Orgánica 2/2012, de 27 de abril, de Estabilidad Presupuestaria y Sostenibilidad Financiera (LOEPSF).</w:t>
      </w:r>
    </w:p>
    <w:p w14:paraId="5F8336FB" w14:textId="77777777" w:rsidR="0061024C" w:rsidRPr="00F51B44" w:rsidRDefault="0061024C" w:rsidP="0061024C">
      <w:pPr>
        <w:numPr>
          <w:ilvl w:val="0"/>
          <w:numId w:val="1"/>
        </w:numPr>
        <w:spacing w:before="120" w:after="120" w:line="240" w:lineRule="auto"/>
        <w:jc w:val="both"/>
        <w:rPr>
          <w:rFonts w:ascii="AytoRoquetas Light Condensed" w:eastAsia="Times New Roman" w:hAnsi="AytoRoquetas Light Condensed" w:cs="Times New Roman"/>
          <w:sz w:val="20"/>
          <w:szCs w:val="20"/>
        </w:rPr>
      </w:pPr>
      <w:r w:rsidRPr="00F51B44">
        <w:rPr>
          <w:rFonts w:ascii="AytoRoquetas Light Condensed" w:eastAsia="Times New Roman" w:hAnsi="AytoRoquetas Light Condensed" w:cs="Times New Roman"/>
          <w:sz w:val="20"/>
          <w:szCs w:val="20"/>
        </w:rPr>
        <w:t>Real Decreto 1463/2007, de 2 de noviembre, por el que se aprueba el reglamento de desarrollo de la estabilidad presupuestaria, en su aplicación a las Entidades Locales (Reglamento).</w:t>
      </w:r>
    </w:p>
    <w:p w14:paraId="47E1158C" w14:textId="77777777" w:rsidR="0061024C" w:rsidRPr="00F51B44" w:rsidRDefault="0061024C" w:rsidP="0061024C">
      <w:pPr>
        <w:numPr>
          <w:ilvl w:val="0"/>
          <w:numId w:val="1"/>
        </w:numPr>
        <w:spacing w:before="120" w:after="120" w:line="240" w:lineRule="auto"/>
        <w:jc w:val="both"/>
        <w:rPr>
          <w:rFonts w:ascii="AytoRoquetas Light Condensed" w:eastAsia="Times New Roman" w:hAnsi="AytoRoquetas Light Condensed" w:cs="Times New Roman"/>
          <w:sz w:val="20"/>
          <w:szCs w:val="20"/>
        </w:rPr>
      </w:pPr>
      <w:r w:rsidRPr="00F51B44">
        <w:rPr>
          <w:rFonts w:ascii="AytoRoquetas Light Condensed" w:eastAsia="Times New Roman" w:hAnsi="AytoRoquetas Light Condensed" w:cs="Times New Roman"/>
          <w:sz w:val="20"/>
          <w:szCs w:val="20"/>
        </w:rPr>
        <w:t>Orden Ministerial HAP/2015/2012, de 1 de octubre, por la que se desarrollan las obligaciones de suministro de información previstas en la LOEPSF (OM).</w:t>
      </w:r>
    </w:p>
    <w:p w14:paraId="210477F3" w14:textId="77777777" w:rsidR="0061024C" w:rsidRPr="00F51B44" w:rsidRDefault="0061024C" w:rsidP="0061024C">
      <w:pPr>
        <w:numPr>
          <w:ilvl w:val="0"/>
          <w:numId w:val="1"/>
        </w:numPr>
        <w:spacing w:before="120" w:after="120" w:line="240" w:lineRule="auto"/>
        <w:jc w:val="both"/>
        <w:rPr>
          <w:rFonts w:ascii="AytoRoquetas Light Condensed" w:eastAsia="Times New Roman" w:hAnsi="AytoRoquetas Light Condensed" w:cs="Times New Roman"/>
          <w:sz w:val="20"/>
          <w:szCs w:val="20"/>
        </w:rPr>
      </w:pPr>
      <w:r w:rsidRPr="00F51B44">
        <w:rPr>
          <w:rFonts w:ascii="AytoRoquetas Light Condensed" w:eastAsia="Times New Roman" w:hAnsi="AytoRoquetas Light Condensed" w:cs="Times New Roman"/>
          <w:sz w:val="20"/>
          <w:szCs w:val="20"/>
        </w:rPr>
        <w:t>Real Decreto Legislativo 2/2004, de 5 de marzo, (TRLRHL) que aprueba el texto refundido de la Ley Reguladora de las Haciendas Locales, en relación al Principio de Estabilidad Presupuestaria (artículos 54.7 y 146.1).</w:t>
      </w:r>
    </w:p>
    <w:p w14:paraId="437A61D2" w14:textId="77777777" w:rsidR="0061024C" w:rsidRPr="00F51B44" w:rsidRDefault="0061024C" w:rsidP="0061024C">
      <w:pPr>
        <w:numPr>
          <w:ilvl w:val="0"/>
          <w:numId w:val="1"/>
        </w:numPr>
        <w:spacing w:before="120" w:after="120" w:line="240" w:lineRule="auto"/>
        <w:jc w:val="both"/>
        <w:rPr>
          <w:rFonts w:ascii="AytoRoquetas Light Condensed" w:eastAsia="Times New Roman" w:hAnsi="AytoRoquetas Light Condensed" w:cs="Times New Roman"/>
          <w:sz w:val="20"/>
          <w:szCs w:val="20"/>
        </w:rPr>
      </w:pPr>
      <w:r w:rsidRPr="00F51B44">
        <w:rPr>
          <w:rFonts w:ascii="AytoRoquetas Light Condensed" w:eastAsia="Times New Roman" w:hAnsi="AytoRoquetas Light Condensed" w:cs="Times New Roman"/>
          <w:sz w:val="20"/>
          <w:szCs w:val="20"/>
        </w:rPr>
        <w:t>Manual del cálculo del Déficit en Contabilidad Nacional adaptado a las Corporaciones Locales, publicado por la Intervención General de la Administración del Estado, Ministerio de Economía y Hacienda.</w:t>
      </w:r>
    </w:p>
    <w:p w14:paraId="49078623" w14:textId="77777777" w:rsidR="0061024C" w:rsidRPr="00F51B44" w:rsidRDefault="0061024C" w:rsidP="0061024C">
      <w:pPr>
        <w:numPr>
          <w:ilvl w:val="0"/>
          <w:numId w:val="1"/>
        </w:numPr>
        <w:spacing w:before="120" w:after="120" w:line="240" w:lineRule="auto"/>
        <w:jc w:val="both"/>
        <w:rPr>
          <w:rFonts w:ascii="AytoRoquetas Light Condensed" w:eastAsia="Times New Roman" w:hAnsi="AytoRoquetas Light Condensed" w:cs="Times New Roman"/>
          <w:sz w:val="20"/>
          <w:szCs w:val="20"/>
        </w:rPr>
      </w:pPr>
      <w:r w:rsidRPr="00F51B44">
        <w:rPr>
          <w:rFonts w:ascii="AytoRoquetas Light Condensed" w:eastAsia="Times New Roman" w:hAnsi="AytoRoquetas Light Condensed" w:cs="Times New Roman"/>
          <w:sz w:val="20"/>
          <w:szCs w:val="20"/>
        </w:rPr>
        <w:t>Guía para la determinación de la Regla de Gasto del artículo 12 de la LOEPSF para corporaciones locales. IGAE.</w:t>
      </w:r>
    </w:p>
    <w:p w14:paraId="40B1C62E" w14:textId="77777777" w:rsidR="0061024C" w:rsidRPr="00F51B44" w:rsidRDefault="0061024C" w:rsidP="0061024C">
      <w:pPr>
        <w:numPr>
          <w:ilvl w:val="0"/>
          <w:numId w:val="1"/>
        </w:numPr>
        <w:spacing w:before="120" w:after="120" w:line="240" w:lineRule="auto"/>
        <w:jc w:val="both"/>
        <w:rPr>
          <w:rFonts w:ascii="AytoRoquetas Light Condensed" w:eastAsia="Times New Roman" w:hAnsi="AytoRoquetas Light Condensed" w:cs="Times New Roman"/>
          <w:sz w:val="20"/>
          <w:szCs w:val="20"/>
        </w:rPr>
      </w:pPr>
      <w:r w:rsidRPr="00F51B44">
        <w:rPr>
          <w:rFonts w:ascii="AytoRoquetas Light Condensed" w:eastAsia="Times New Roman" w:hAnsi="AytoRoquetas Light Condensed" w:cs="Times New Roman"/>
          <w:sz w:val="20"/>
          <w:szCs w:val="20"/>
        </w:rPr>
        <w:t>Reglamento (UE) nº 549/2013 del Parlamento Europeo y del Consejo, de 21 de mayo de 2013, relativo al Sistema Europeo de Cuentas Nacionales y Regionales de la Unión Europea.</w:t>
      </w:r>
    </w:p>
    <w:p w14:paraId="0BF9765F" w14:textId="77777777" w:rsidR="001D7D40" w:rsidRPr="00F51B44" w:rsidRDefault="001D7D40" w:rsidP="0061024C">
      <w:pPr>
        <w:widowControl w:val="0"/>
        <w:autoSpaceDE w:val="0"/>
        <w:autoSpaceDN w:val="0"/>
        <w:adjustRightInd w:val="0"/>
        <w:spacing w:before="120" w:after="120" w:line="240" w:lineRule="auto"/>
        <w:jc w:val="both"/>
        <w:rPr>
          <w:rFonts w:ascii="AytoRoquetas Light Condensed" w:hAnsi="AytoRoquetas Light Condensed" w:cs="Times New Roman"/>
          <w:b/>
          <w:sz w:val="20"/>
          <w:szCs w:val="20"/>
        </w:rPr>
      </w:pPr>
    </w:p>
    <w:p w14:paraId="3B517B5C" w14:textId="0176B6F0" w:rsidR="0061024C" w:rsidRPr="00F51B44" w:rsidRDefault="0061024C" w:rsidP="0061024C">
      <w:pPr>
        <w:widowControl w:val="0"/>
        <w:autoSpaceDE w:val="0"/>
        <w:autoSpaceDN w:val="0"/>
        <w:adjustRightInd w:val="0"/>
        <w:spacing w:before="120" w:after="120" w:line="240" w:lineRule="auto"/>
        <w:jc w:val="both"/>
        <w:rPr>
          <w:rFonts w:ascii="AytoRoquetas Light Condensed" w:hAnsi="AytoRoquetas Light Condensed" w:cstheme="majorHAnsi"/>
          <w:b/>
          <w:sz w:val="20"/>
          <w:szCs w:val="20"/>
        </w:rPr>
      </w:pPr>
      <w:r w:rsidRPr="00F51B44">
        <w:rPr>
          <w:rFonts w:ascii="AytoRoquetas Light Condensed" w:hAnsi="AytoRoquetas Light Condensed" w:cstheme="majorHAnsi"/>
          <w:b/>
          <w:sz w:val="20"/>
          <w:szCs w:val="20"/>
        </w:rPr>
        <w:t xml:space="preserve">SEGUNDO. </w:t>
      </w:r>
      <w:r w:rsidR="001D7D40" w:rsidRPr="00F51B44">
        <w:rPr>
          <w:rFonts w:ascii="AytoRoquetas Light Condensed" w:hAnsi="AytoRoquetas Light Condensed" w:cstheme="majorHAnsi"/>
          <w:b/>
          <w:sz w:val="20"/>
          <w:szCs w:val="20"/>
        </w:rPr>
        <w:t>CONSIDERACIONES JURÍDICAS</w:t>
      </w:r>
    </w:p>
    <w:p w14:paraId="29D01E4C" w14:textId="77777777" w:rsidR="005C13AA" w:rsidRPr="008040C7" w:rsidRDefault="005C13AA" w:rsidP="005C13AA">
      <w:pPr>
        <w:widowControl w:val="0"/>
        <w:autoSpaceDE w:val="0"/>
        <w:autoSpaceDN w:val="0"/>
        <w:adjustRightInd w:val="0"/>
        <w:ind w:firstLine="708"/>
        <w:jc w:val="both"/>
        <w:rPr>
          <w:rFonts w:ascii="Times New Roman" w:hAnsi="Times New Roman" w:cs="Times New Roman"/>
          <w:sz w:val="24"/>
          <w:szCs w:val="24"/>
        </w:rPr>
      </w:pPr>
      <w:r w:rsidRPr="008040C7">
        <w:rPr>
          <w:rFonts w:ascii="Times New Roman" w:hAnsi="Times New Roman" w:cs="Times New Roman"/>
          <w:sz w:val="24"/>
          <w:szCs w:val="24"/>
        </w:rPr>
        <w:t xml:space="preserve">La elaboración, aprobación y ejecución de los Presupuestos y demás actuaciones que afecten a los gastos o ingresos de las Entidades Locales se someterá al principio de </w:t>
      </w:r>
      <w:r w:rsidRPr="008040C7">
        <w:rPr>
          <w:rFonts w:ascii="Times New Roman" w:hAnsi="Times New Roman" w:cs="Times New Roman"/>
          <w:sz w:val="24"/>
          <w:szCs w:val="24"/>
        </w:rPr>
        <w:lastRenderedPageBreak/>
        <w:t>estabilidad presupuestaria, coherente con la normativa europea, de conformidad a lo previsto en los artículo</w:t>
      </w:r>
      <w:r>
        <w:rPr>
          <w:rFonts w:ascii="Times New Roman" w:hAnsi="Times New Roman" w:cs="Times New Roman"/>
          <w:sz w:val="24"/>
          <w:szCs w:val="24"/>
        </w:rPr>
        <w:t>s</w:t>
      </w:r>
      <w:r w:rsidRPr="008040C7">
        <w:rPr>
          <w:rFonts w:ascii="Times New Roman" w:hAnsi="Times New Roman" w:cs="Times New Roman"/>
          <w:sz w:val="24"/>
          <w:szCs w:val="24"/>
        </w:rPr>
        <w:t xml:space="preserve"> 3, 11 y 12 de la Ley Orgánica 2/2012, de 27 de abril, de Estabilidad Presupuestaria y Sostenibilidad Financiera.</w:t>
      </w:r>
    </w:p>
    <w:p w14:paraId="30271B5C" w14:textId="77777777" w:rsidR="005C13AA" w:rsidRPr="008040C7" w:rsidRDefault="005C13AA" w:rsidP="005C13AA">
      <w:pPr>
        <w:pStyle w:val="NormalWeb"/>
        <w:spacing w:line="276" w:lineRule="auto"/>
        <w:ind w:left="0" w:firstLine="0"/>
        <w:rPr>
          <w:rFonts w:ascii="Times New Roman" w:hAnsi="Times New Roman" w:cs="Times New Roman"/>
          <w:sz w:val="24"/>
        </w:rPr>
      </w:pPr>
      <w:r w:rsidRPr="008040C7">
        <w:rPr>
          <w:rFonts w:ascii="Times New Roman" w:hAnsi="Times New Roman" w:cs="Times New Roman"/>
          <w:sz w:val="24"/>
        </w:rPr>
        <w:t xml:space="preserve">Tal y como dispone el artículo 16 apartado 1 </w:t>
      </w:r>
      <w:r w:rsidRPr="008040C7">
        <w:rPr>
          <w:rFonts w:ascii="Times New Roman" w:hAnsi="Times New Roman" w:cs="Times New Roman"/>
          <w:i/>
          <w:sz w:val="24"/>
        </w:rPr>
        <w:t>in fine</w:t>
      </w:r>
      <w:r w:rsidRPr="008040C7">
        <w:rPr>
          <w:rFonts w:ascii="Times New Roman" w:hAnsi="Times New Roman" w:cs="Times New Roman"/>
          <w:sz w:val="24"/>
        </w:rPr>
        <w:t xml:space="preserve"> y apartado 2 del Real Decreto 1463/2007, de 2 de noviembre, por el que se aprueba el Reglamento de Desarrollo de la Ley 18/2001, de 12 de diciembre, de Estabilidad Presupuestaria, en su Aplicación a las Entidades Locales, la Intervención Local elevará al Pleno un informe sobre el cumplimiento del objetivo de estabilidad de la propia Entidad Local y de sus organismos y entidades dependientes, así como de la regla de gasto.</w:t>
      </w:r>
    </w:p>
    <w:p w14:paraId="6751526A" w14:textId="77777777" w:rsidR="005C13AA" w:rsidRPr="008040C7" w:rsidRDefault="005C13AA" w:rsidP="005C13AA">
      <w:pPr>
        <w:pStyle w:val="NormalWeb"/>
        <w:spacing w:line="276" w:lineRule="auto"/>
        <w:ind w:left="0" w:firstLine="708"/>
        <w:rPr>
          <w:rFonts w:ascii="Times New Roman" w:hAnsi="Times New Roman" w:cs="Times New Roman"/>
          <w:sz w:val="24"/>
        </w:rPr>
      </w:pPr>
    </w:p>
    <w:p w14:paraId="35D39CFA" w14:textId="77777777" w:rsidR="005C13AA" w:rsidRPr="008040C7" w:rsidRDefault="005C13AA" w:rsidP="005C13AA">
      <w:pPr>
        <w:pStyle w:val="NormalWeb"/>
        <w:spacing w:line="276" w:lineRule="auto"/>
        <w:ind w:left="0" w:firstLine="0"/>
        <w:rPr>
          <w:rFonts w:ascii="Times New Roman" w:hAnsi="Times New Roman" w:cs="Times New Roman"/>
          <w:sz w:val="24"/>
        </w:rPr>
      </w:pPr>
      <w:r w:rsidRPr="008040C7">
        <w:rPr>
          <w:rFonts w:ascii="Times New Roman" w:hAnsi="Times New Roman" w:cs="Times New Roman"/>
          <w:sz w:val="24"/>
        </w:rPr>
        <w:t>Este informe se emitirá con carácter independiente y se incorporará a los previstos en el artículo 191.3 del Real Decreto Legislativo 2/2004, de 5 de marzo, por el que se aprueba el texto refundido de la Ley Reguladora de las Haciendas Locales, referido a la liquidación del Presupuesto.</w:t>
      </w:r>
    </w:p>
    <w:p w14:paraId="1239EEF3" w14:textId="77777777" w:rsidR="005C13AA" w:rsidRPr="008040C7" w:rsidRDefault="005C13AA" w:rsidP="005C13AA">
      <w:pPr>
        <w:pStyle w:val="NormalWeb"/>
        <w:spacing w:line="276" w:lineRule="auto"/>
        <w:ind w:left="0" w:firstLine="0"/>
        <w:rPr>
          <w:rFonts w:ascii="Times New Roman" w:hAnsi="Times New Roman" w:cs="Times New Roman"/>
          <w:sz w:val="24"/>
        </w:rPr>
      </w:pPr>
    </w:p>
    <w:p w14:paraId="5390A8BB" w14:textId="77777777" w:rsidR="005C13AA" w:rsidRPr="008040C7" w:rsidRDefault="005C13AA" w:rsidP="005C13AA">
      <w:pPr>
        <w:pStyle w:val="NormalWeb"/>
        <w:spacing w:line="276" w:lineRule="auto"/>
        <w:ind w:left="0" w:firstLine="0"/>
        <w:rPr>
          <w:rFonts w:ascii="Times New Roman" w:hAnsi="Times New Roman" w:cs="Times New Roman"/>
          <w:sz w:val="24"/>
        </w:rPr>
      </w:pPr>
      <w:r w:rsidRPr="008040C7">
        <w:rPr>
          <w:rFonts w:ascii="Times New Roman" w:hAnsi="Times New Roman" w:cs="Times New Roman"/>
          <w:sz w:val="24"/>
        </w:rPr>
        <w:t>El Interventor local deberá detallar en su informe los cálculos efectuados y los ajustes practicados sobre la base de los datos de los capítulos de 1 a 9 de los estados de gastos e ingresos presupuestarios, en términos de Contabilidad Nacional, según el sistema Europeo de Cuentas Nacionales o Regionales.</w:t>
      </w:r>
    </w:p>
    <w:p w14:paraId="6FA60092" w14:textId="77777777" w:rsidR="005C13AA" w:rsidRPr="008040C7" w:rsidRDefault="005C13AA" w:rsidP="005C13AA">
      <w:pPr>
        <w:pStyle w:val="NormalWeb"/>
        <w:spacing w:line="276" w:lineRule="auto"/>
        <w:ind w:left="0" w:firstLine="708"/>
        <w:rPr>
          <w:rFonts w:ascii="Times New Roman" w:hAnsi="Times New Roman" w:cs="Times New Roman"/>
          <w:sz w:val="24"/>
        </w:rPr>
      </w:pPr>
    </w:p>
    <w:p w14:paraId="4E70DDCB" w14:textId="77777777" w:rsidR="005C13AA" w:rsidRPr="008040C7" w:rsidRDefault="005C13AA" w:rsidP="005C13AA">
      <w:pPr>
        <w:pStyle w:val="NormalWeb"/>
        <w:spacing w:line="276" w:lineRule="auto"/>
        <w:ind w:left="0" w:firstLine="0"/>
        <w:rPr>
          <w:rFonts w:ascii="Times New Roman" w:hAnsi="Times New Roman" w:cs="Times New Roman"/>
          <w:sz w:val="24"/>
        </w:rPr>
      </w:pPr>
      <w:r w:rsidRPr="008040C7">
        <w:rPr>
          <w:rFonts w:ascii="Times New Roman" w:hAnsi="Times New Roman" w:cs="Times New Roman"/>
          <w:sz w:val="24"/>
        </w:rPr>
        <w:t>El Interventor deberá evaluar el cumplimiento de la regla de gasto, detallando en su informe el importe de variación de los gastos computables y su comparación con la tasa de referencia del crecimiento del producto interior bruto, conforme al artículo 12 de la Ley Orgánica 2/2012, de 27 de abril, de Estabilidad Presupuestaria y Sostenibilidad Financiera.</w:t>
      </w:r>
    </w:p>
    <w:p w14:paraId="5AF99F38" w14:textId="77777777" w:rsidR="005C13AA" w:rsidRDefault="005C13AA" w:rsidP="005C13AA">
      <w:pPr>
        <w:spacing w:before="240" w:after="240"/>
        <w:ind w:firstLine="709"/>
        <w:jc w:val="both"/>
        <w:rPr>
          <w:rFonts w:ascii="Times New Roman" w:eastAsia="Verdana" w:hAnsi="Times New Roman" w:cs="Times New Roman"/>
          <w:sz w:val="24"/>
          <w:szCs w:val="24"/>
        </w:rPr>
      </w:pPr>
      <w:r w:rsidRPr="008040C7">
        <w:rPr>
          <w:rFonts w:ascii="Times New Roman" w:eastAsia="Verdana" w:hAnsi="Times New Roman" w:cs="Times New Roman"/>
          <w:sz w:val="24"/>
          <w:szCs w:val="24"/>
        </w:rPr>
        <w:t>La Ley Orgánica 2/2012, de 27 de abril, de Estabilidad Presupuestaria y Sostenibilidad Financiera establece entre sus objetivos garantizar la estabilidad presupuestaria y sostenibilidad financiera de todas las Administraciones Públicas.</w:t>
      </w:r>
      <w:r w:rsidRPr="008040C7">
        <w:rPr>
          <w:rFonts w:ascii="Times New Roman" w:eastAsia="Verdana" w:hAnsi="Times New Roman" w:cs="Times New Roman"/>
          <w:sz w:val="24"/>
          <w:szCs w:val="24"/>
        </w:rPr>
        <w:br/>
        <w:t>Por ello la aprobación y liquidación de los Presupuestos de las Entidades Locales deben realizarse bajo el cumplimiento de las llamadas tres reglas fiscales: la estabilidad presupuestaria, la regla del gasto y la deuda pública.</w:t>
      </w:r>
    </w:p>
    <w:p w14:paraId="355E0574" w14:textId="77777777" w:rsidR="005C13AA" w:rsidRPr="002545C5" w:rsidRDefault="005C13AA" w:rsidP="005C13AA">
      <w:pPr>
        <w:spacing w:before="240" w:after="240"/>
        <w:ind w:firstLine="709"/>
        <w:jc w:val="both"/>
        <w:rPr>
          <w:rFonts w:ascii="Times New Roman" w:eastAsia="Verdana" w:hAnsi="Times New Roman" w:cs="Times New Roman"/>
          <w:bCs/>
          <w:sz w:val="24"/>
          <w:szCs w:val="24"/>
        </w:rPr>
      </w:pPr>
      <w:r w:rsidRPr="002545C5">
        <w:rPr>
          <w:rFonts w:ascii="Times New Roman" w:eastAsia="Verdana" w:hAnsi="Times New Roman" w:cs="Times New Roman"/>
          <w:bCs/>
          <w:sz w:val="24"/>
          <w:szCs w:val="24"/>
        </w:rPr>
        <w:t>Durante los ejercicios 2020, 2021, 2022 y 2023 han estado suspendidas las reglas fiscales en España, siguiendo las recomendaciones de la Comisión Europea, que decidió aplicar la cláusula general de salvaguardia del Pacto de Estabilidad y Crecimiento, para amortiguar los efectos de la pandemia causada por el COVID-19 y, posteriormente, los de la guerra de Ucrania.</w:t>
      </w:r>
    </w:p>
    <w:p w14:paraId="7304125F" w14:textId="77777777" w:rsidR="005C13AA" w:rsidRPr="002545C5" w:rsidRDefault="005C13AA" w:rsidP="005C13AA">
      <w:pPr>
        <w:spacing w:before="240" w:after="240"/>
        <w:ind w:firstLine="709"/>
        <w:jc w:val="both"/>
        <w:rPr>
          <w:rFonts w:ascii="Times New Roman" w:eastAsia="Verdana" w:hAnsi="Times New Roman" w:cs="Times New Roman"/>
          <w:bCs/>
          <w:sz w:val="24"/>
          <w:szCs w:val="24"/>
        </w:rPr>
      </w:pPr>
      <w:r w:rsidRPr="002545C5">
        <w:rPr>
          <w:rFonts w:ascii="Times New Roman" w:eastAsia="Verdana" w:hAnsi="Times New Roman" w:cs="Times New Roman"/>
          <w:bCs/>
          <w:sz w:val="24"/>
          <w:szCs w:val="24"/>
        </w:rPr>
        <w:t>En la Comunicación de la Comisión Europea al Consejo de 8 de marzo de 2023, apartado 5, se establece la retirada de la cláusula general de salvaguardia a partir de finales de 2023.</w:t>
      </w:r>
    </w:p>
    <w:p w14:paraId="7E41C18A" w14:textId="77777777" w:rsidR="005C13AA" w:rsidRDefault="005C13AA" w:rsidP="005C13AA">
      <w:pPr>
        <w:spacing w:before="240" w:after="240"/>
        <w:ind w:firstLine="709"/>
        <w:jc w:val="both"/>
        <w:rPr>
          <w:rFonts w:ascii="Times New Roman" w:eastAsia="Verdana" w:hAnsi="Times New Roman" w:cs="Times New Roman"/>
          <w:bCs/>
          <w:sz w:val="24"/>
          <w:szCs w:val="24"/>
        </w:rPr>
      </w:pPr>
      <w:r w:rsidRPr="002545C5">
        <w:rPr>
          <w:rFonts w:ascii="Times New Roman" w:eastAsia="Verdana" w:hAnsi="Times New Roman" w:cs="Times New Roman"/>
          <w:bCs/>
          <w:sz w:val="24"/>
          <w:szCs w:val="24"/>
        </w:rPr>
        <w:lastRenderedPageBreak/>
        <w:t>En consecuencia, las reglas fiscales aplicables a las administraciones públicas españolas quedan reactivadas en 2024, quedando estas obligadas a su cumplimiento.</w:t>
      </w:r>
      <w:r>
        <w:rPr>
          <w:rFonts w:ascii="Times New Roman" w:eastAsia="Verdana" w:hAnsi="Times New Roman" w:cs="Times New Roman"/>
          <w:bCs/>
          <w:sz w:val="24"/>
          <w:szCs w:val="24"/>
        </w:rPr>
        <w:t xml:space="preserve"> </w:t>
      </w:r>
    </w:p>
    <w:p w14:paraId="3BAAD53A" w14:textId="77777777" w:rsidR="005C13AA" w:rsidRPr="008040C7" w:rsidRDefault="005C13AA" w:rsidP="005C13AA">
      <w:pPr>
        <w:spacing w:before="240" w:after="240"/>
        <w:ind w:firstLine="709"/>
        <w:jc w:val="both"/>
        <w:rPr>
          <w:rFonts w:ascii="Times New Roman" w:hAnsi="Times New Roman" w:cs="Times New Roman"/>
          <w:sz w:val="24"/>
        </w:rPr>
      </w:pPr>
      <w:r>
        <w:rPr>
          <w:rFonts w:ascii="Times New Roman" w:eastAsia="Verdana" w:hAnsi="Times New Roman" w:cs="Times New Roman"/>
          <w:bCs/>
          <w:sz w:val="24"/>
          <w:szCs w:val="24"/>
        </w:rPr>
        <w:t xml:space="preserve">A fecha de la presente liquidación el Congreso aprobó los objetivos de estabilidad presupuestaria en un 0,0% del PIB deuda pública en un 1,3% del PIB y Regla de gasto con una tasa de variación anual del 2,6%, todo ello referenciado a las entidades locales. </w:t>
      </w:r>
    </w:p>
    <w:p w14:paraId="34A86B0F" w14:textId="7AC78C2A" w:rsidR="00DB61DB" w:rsidRPr="00F51B44" w:rsidRDefault="00DB61DB" w:rsidP="0061024C">
      <w:pPr>
        <w:spacing w:before="120" w:after="120" w:line="240" w:lineRule="auto"/>
        <w:jc w:val="both"/>
        <w:rPr>
          <w:rFonts w:ascii="AytoRoquetas Light Condensed" w:eastAsia="Verdana" w:hAnsi="AytoRoquetas Light Condensed" w:cs="Times New Roman"/>
          <w:sz w:val="20"/>
          <w:szCs w:val="20"/>
        </w:rPr>
      </w:pPr>
      <w:r w:rsidRPr="00F51B44">
        <w:rPr>
          <w:rFonts w:ascii="AytoRoquetas Light Condensed" w:eastAsia="Verdana" w:hAnsi="AytoRoquetas Light Condensed" w:cs="Times New Roman"/>
          <w:noProof/>
          <w:sz w:val="20"/>
          <w:szCs w:val="20"/>
        </w:rPr>
        <w:drawing>
          <wp:inline distT="0" distB="0" distL="0" distR="0" wp14:anchorId="545933F9" wp14:editId="6F48DECD">
            <wp:extent cx="5400040" cy="1021715"/>
            <wp:effectExtent l="0" t="0" r="0" b="6985"/>
            <wp:docPr id="1368462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46225" name=""/>
                    <pic:cNvPicPr/>
                  </pic:nvPicPr>
                  <pic:blipFill>
                    <a:blip r:embed="rId7"/>
                    <a:stretch>
                      <a:fillRect/>
                    </a:stretch>
                  </pic:blipFill>
                  <pic:spPr>
                    <a:xfrm>
                      <a:off x="0" y="0"/>
                      <a:ext cx="5400040" cy="1021715"/>
                    </a:xfrm>
                    <a:prstGeom prst="rect">
                      <a:avLst/>
                    </a:prstGeom>
                  </pic:spPr>
                </pic:pic>
              </a:graphicData>
            </a:graphic>
          </wp:inline>
        </w:drawing>
      </w:r>
    </w:p>
    <w:p w14:paraId="06B04D37" w14:textId="77777777" w:rsidR="0061024C" w:rsidRPr="00F51B44" w:rsidRDefault="0061024C" w:rsidP="0061024C">
      <w:pPr>
        <w:pStyle w:val="NormalWeb"/>
        <w:spacing w:before="120" w:after="120" w:line="240" w:lineRule="auto"/>
        <w:ind w:left="0" w:right="0" w:firstLine="0"/>
        <w:rPr>
          <w:rFonts w:ascii="AytoRoquetas Light Condensed" w:hAnsi="AytoRoquetas Light Condensed" w:cs="Times New Roman"/>
          <w:szCs w:val="20"/>
        </w:rPr>
      </w:pPr>
    </w:p>
    <w:p w14:paraId="348EEB95" w14:textId="77777777" w:rsidR="0061024C" w:rsidRPr="00F51B44" w:rsidRDefault="0061024C" w:rsidP="0061024C">
      <w:pPr>
        <w:spacing w:before="120" w:after="120" w:line="240" w:lineRule="auto"/>
        <w:jc w:val="both"/>
        <w:rPr>
          <w:rFonts w:ascii="AytoRoquetas Light Condensed" w:eastAsia="Times New Roman" w:hAnsi="AytoRoquetas Light Condensed" w:cs="Times New Roman"/>
          <w:b/>
          <w:sz w:val="20"/>
          <w:szCs w:val="20"/>
        </w:rPr>
      </w:pPr>
      <w:r w:rsidRPr="00F51B44">
        <w:rPr>
          <w:rFonts w:ascii="AytoRoquetas Light Condensed" w:eastAsia="Times New Roman" w:hAnsi="AytoRoquetas Light Condensed" w:cs="Times New Roman"/>
          <w:b/>
          <w:sz w:val="20"/>
          <w:szCs w:val="20"/>
        </w:rPr>
        <w:t>TERCERO. CUMPLIMIENTO DEL OBJETIVO DE ESTABILIDAD PRESUPUESTARIA</w:t>
      </w:r>
    </w:p>
    <w:p w14:paraId="3EDDC48C" w14:textId="77777777" w:rsidR="005C13AA" w:rsidRPr="005C13AA" w:rsidRDefault="0061024C" w:rsidP="005C13AA">
      <w:pPr>
        <w:spacing w:before="120" w:after="120" w:line="240" w:lineRule="auto"/>
        <w:jc w:val="both"/>
        <w:rPr>
          <w:rFonts w:ascii="AytoRoquetas Light Condensed" w:eastAsia="Times New Roman" w:hAnsi="AytoRoquetas Light Condensed" w:cs="Times New Roman"/>
          <w:sz w:val="20"/>
          <w:szCs w:val="20"/>
        </w:rPr>
      </w:pPr>
      <w:r w:rsidRPr="00F51B44">
        <w:rPr>
          <w:rFonts w:ascii="AytoRoquetas Light Condensed" w:eastAsia="Times New Roman" w:hAnsi="AytoRoquetas Light Condensed" w:cs="Times New Roman"/>
          <w:sz w:val="20"/>
          <w:szCs w:val="20"/>
        </w:rPr>
        <w:t xml:space="preserve">     </w:t>
      </w:r>
      <w:r w:rsidR="005C13AA" w:rsidRPr="005C13AA">
        <w:rPr>
          <w:rFonts w:ascii="AytoRoquetas Light Condensed" w:eastAsia="Times New Roman" w:hAnsi="AytoRoquetas Light Condensed" w:cs="Times New Roman"/>
          <w:sz w:val="20"/>
          <w:szCs w:val="20"/>
        </w:rPr>
        <w:t>Establece el artículo 11 de la LO 2/2012, de 27 de abril, de Estabilidad Presupuestaria y Sostenibilidad Financiera (LOEPSF), el sometimiento al principio de estabilidad presupuestaria no solamente la aprobación de los presupuestos sino también la ejecución de los mismos por lo que procede, una vez liquidados éstos, la comprobación del cumplimiento.</w:t>
      </w:r>
    </w:p>
    <w:p w14:paraId="5CCA0C98" w14:textId="77777777" w:rsidR="005C13AA" w:rsidRPr="005C13AA" w:rsidRDefault="005C13AA" w:rsidP="005C13AA">
      <w:pPr>
        <w:spacing w:before="120" w:after="120" w:line="240" w:lineRule="auto"/>
        <w:jc w:val="both"/>
        <w:rPr>
          <w:rFonts w:ascii="AytoRoquetas Light Condensed" w:eastAsia="Times New Roman" w:hAnsi="AytoRoquetas Light Condensed" w:cs="Times New Roman"/>
          <w:sz w:val="20"/>
          <w:szCs w:val="20"/>
        </w:rPr>
      </w:pPr>
      <w:r w:rsidRPr="005C13AA">
        <w:rPr>
          <w:rFonts w:ascii="AytoRoquetas Light Condensed" w:eastAsia="Times New Roman" w:hAnsi="AytoRoquetas Light Condensed" w:cs="Times New Roman"/>
          <w:sz w:val="20"/>
          <w:szCs w:val="20"/>
        </w:rPr>
        <w:t xml:space="preserve">     La estabilidad presupuestaria implica que los recursos corrientes y de capital no financieros deben ser suficientes para hacer frente a los gastos corrientes y de capital no financieros. La capacidad inversora municipal vendrá determinada por los recursos de capital no financieros, y los recursos corrientes no empleados en los gastos corrientes (ahorro bruto).</w:t>
      </w:r>
    </w:p>
    <w:p w14:paraId="4E5205F9" w14:textId="77777777" w:rsidR="005C13AA" w:rsidRPr="005C13AA" w:rsidRDefault="005C13AA" w:rsidP="005C13AA">
      <w:pPr>
        <w:spacing w:before="120" w:after="120" w:line="240" w:lineRule="auto"/>
        <w:jc w:val="both"/>
        <w:rPr>
          <w:rFonts w:ascii="AytoRoquetas Light Condensed" w:eastAsia="Times New Roman" w:hAnsi="AytoRoquetas Light Condensed" w:cs="Times New Roman"/>
          <w:sz w:val="20"/>
          <w:szCs w:val="20"/>
        </w:rPr>
      </w:pPr>
      <w:r w:rsidRPr="005C13AA">
        <w:rPr>
          <w:rFonts w:ascii="AytoRoquetas Light Condensed" w:eastAsia="Times New Roman" w:hAnsi="AytoRoquetas Light Condensed" w:cs="Times New Roman"/>
          <w:sz w:val="20"/>
          <w:szCs w:val="20"/>
        </w:rPr>
        <w:t xml:space="preserve">     El cálculo de la capacidad/necesidad de financiación de los entes sometidos a presupuestos se obtiene, según el manual de la IGAE y cómo interpreta la Subdirección General de Relaciones Financieras con las Entidades locales, por diferencia entre los importes presupuestados en los capítulos 1 a 7 de los estados de ingresos y los capítulos 1 a 7 del estado de gastos, previa aplicación de los ajustes relativos a la valoración, imputación temporal, exclusión o inclusión de los ingresos y gastos no financieros.</w:t>
      </w:r>
    </w:p>
    <w:p w14:paraId="3BBC0ABB" w14:textId="77777777" w:rsidR="005C13AA" w:rsidRPr="005C13AA" w:rsidRDefault="005C13AA" w:rsidP="005C13AA">
      <w:pPr>
        <w:spacing w:before="120" w:after="120" w:line="240" w:lineRule="auto"/>
        <w:jc w:val="both"/>
        <w:rPr>
          <w:rFonts w:ascii="AytoRoquetas Light Condensed" w:eastAsia="Times New Roman" w:hAnsi="AytoRoquetas Light Condensed" w:cs="Times New Roman"/>
          <w:sz w:val="20"/>
          <w:szCs w:val="20"/>
        </w:rPr>
      </w:pPr>
      <w:r w:rsidRPr="005C13AA">
        <w:rPr>
          <w:rFonts w:ascii="AytoRoquetas Light Condensed" w:eastAsia="Times New Roman" w:hAnsi="AytoRoquetas Light Condensed" w:cs="Times New Roman"/>
          <w:sz w:val="20"/>
          <w:szCs w:val="20"/>
        </w:rPr>
        <w:t>A pesar de que los objetivos de estabilidad, deuda pública y la regla de gasto, aprobados por el Gobierno son inaplicables por estar aprobada su suspensión, sigue siendo de aplicación la normativa presupuestaria contenida en el Texto Refundido de la Ley Reguladora de las Haciendas Locales, aprobado por el Real Decreto Legislativo 2/2004, de 5 de marzo y su normativa de desarrollo y, por tanto, el principio de estabilidad presupuestaria.</w:t>
      </w:r>
    </w:p>
    <w:p w14:paraId="37F489A4" w14:textId="77777777" w:rsidR="005C13AA" w:rsidRPr="005C13AA" w:rsidRDefault="005C13AA" w:rsidP="005C13AA">
      <w:pPr>
        <w:spacing w:before="120" w:after="120" w:line="240" w:lineRule="auto"/>
        <w:jc w:val="both"/>
        <w:rPr>
          <w:rFonts w:ascii="AytoRoquetas Light Condensed" w:eastAsia="Times New Roman" w:hAnsi="AytoRoquetas Light Condensed" w:cs="Times New Roman"/>
          <w:sz w:val="20"/>
          <w:szCs w:val="20"/>
        </w:rPr>
      </w:pPr>
      <w:r w:rsidRPr="005C13AA">
        <w:rPr>
          <w:rFonts w:ascii="AytoRoquetas Light Condensed" w:eastAsia="Times New Roman" w:hAnsi="AytoRoquetas Light Condensed" w:cs="Times New Roman"/>
          <w:sz w:val="20"/>
          <w:szCs w:val="20"/>
        </w:rPr>
        <w:t>Esto es debido a que les es de aplicación el apartado 1 del referido artículo 165 del Texto Refundido de la Ley Reguladora de las Haciendas Locales, aprobado por el Real Decreto Legislativo 2/2004, de 5 de marzo , por el cual, el presupuesto general atenderá al cumplimiento del principio de estabilidad y el artículo 16 del Real Decreto 1463/2007, de 2 de noviembre, por el que se aprueba el Reglamento de Desarrollo de la Ley 18/2001, de 12 de noviembre, de Estabilidad Presupuestaria, en su aplicación a las Entidades Locales, por el que la Intervención local informará sobre la evaluación del principio de estabilidad presupuestaria en términos de capacidad o necesidad de financiación conforme al SEC-10 con carácter independiente y se incorporará a los previstos en los artículos 168.4 (en el supuesto de Informe para la aprobación del Presupuesto) y 191.3 (en el supuesto de Informe para la aprobación de la Liquidación del Presupuesto</w:t>
      </w:r>
      <w:r w:rsidRPr="005C13AA">
        <w:rPr>
          <w:rFonts w:ascii="AytoRoquetas Light Condensed" w:eastAsia="Times New Roman" w:hAnsi="AytoRoquetas Light Condensed" w:cs="Times New Roman"/>
          <w:i/>
          <w:sz w:val="20"/>
          <w:szCs w:val="20"/>
        </w:rPr>
        <w:t xml:space="preserve">) </w:t>
      </w:r>
      <w:r w:rsidRPr="005C13AA">
        <w:rPr>
          <w:rFonts w:ascii="AytoRoquetas Light Condensed" w:eastAsia="Times New Roman" w:hAnsi="AytoRoquetas Light Condensed" w:cs="Times New Roman"/>
          <w:sz w:val="20"/>
          <w:szCs w:val="20"/>
        </w:rPr>
        <w:t>del texto refundido de la Ley Reguladora de las Haciendas Locales, aprobado por el Real Decreto Legislativo 2/2004, de 5 de marzo, referidos respectivamente, a la aprobación del presupuesto general y a su liquidación.</w:t>
      </w:r>
    </w:p>
    <w:p w14:paraId="3B512D06" w14:textId="77777777" w:rsidR="005C13AA" w:rsidRPr="005C13AA" w:rsidRDefault="005C13AA" w:rsidP="005C13AA">
      <w:pPr>
        <w:spacing w:before="120" w:after="120" w:line="240" w:lineRule="auto"/>
        <w:jc w:val="both"/>
        <w:rPr>
          <w:rFonts w:ascii="AytoRoquetas Light Condensed" w:eastAsia="Times New Roman" w:hAnsi="AytoRoquetas Light Condensed" w:cs="Times New Roman"/>
          <w:sz w:val="20"/>
          <w:szCs w:val="20"/>
        </w:rPr>
      </w:pPr>
      <w:r w:rsidRPr="005C13AA">
        <w:rPr>
          <w:rFonts w:ascii="AytoRoquetas Light Condensed" w:eastAsia="Times New Roman" w:hAnsi="AytoRoquetas Light Condensed" w:cs="Times New Roman"/>
          <w:sz w:val="20"/>
          <w:szCs w:val="20"/>
        </w:rPr>
        <w:t xml:space="preserve">     A los efectos de la determinación del ámbito de aplicación subjetivo de la LOEPSF:</w:t>
      </w:r>
    </w:p>
    <w:p w14:paraId="34390DDB" w14:textId="77777777" w:rsidR="005C13AA" w:rsidRPr="005C13AA" w:rsidRDefault="005C13AA" w:rsidP="005C13AA">
      <w:pPr>
        <w:spacing w:before="120" w:after="120" w:line="240" w:lineRule="auto"/>
        <w:jc w:val="both"/>
        <w:rPr>
          <w:rFonts w:ascii="AytoRoquetas Light Condensed" w:eastAsia="Times New Roman" w:hAnsi="AytoRoquetas Light Condensed" w:cs="Times New Roman"/>
          <w:sz w:val="20"/>
          <w:szCs w:val="20"/>
        </w:rPr>
      </w:pPr>
      <w:r w:rsidRPr="005C13AA">
        <w:rPr>
          <w:rFonts w:ascii="AytoRoquetas Light Condensed" w:eastAsia="Times New Roman" w:hAnsi="AytoRoquetas Light Condensed" w:cs="Times New Roman"/>
          <w:sz w:val="20"/>
          <w:szCs w:val="20"/>
        </w:rPr>
        <w:lastRenderedPageBreak/>
        <w:t xml:space="preserve">     A. </w:t>
      </w:r>
      <w:r w:rsidRPr="005C13AA">
        <w:rPr>
          <w:rFonts w:ascii="AytoRoquetas Light Condensed" w:eastAsia="Times New Roman" w:hAnsi="AytoRoquetas Light Condensed" w:cs="Times New Roman"/>
          <w:b/>
          <w:bCs/>
          <w:sz w:val="20"/>
          <w:szCs w:val="20"/>
        </w:rPr>
        <w:t>Agentes que constituyen la Administración Local, según establece el artículo 2.1 de la Ley Orgánica 2/2012, de Estabilidad Presupuestaria y Sostenibilidad Financiera</w:t>
      </w:r>
      <w:r w:rsidRPr="005C13AA">
        <w:rPr>
          <w:rFonts w:ascii="AytoRoquetas Light Condensed" w:eastAsia="Times New Roman" w:hAnsi="AytoRoquetas Light Condensed" w:cs="Times New Roman"/>
          <w:sz w:val="20"/>
          <w:szCs w:val="20"/>
        </w:rPr>
        <w:t xml:space="preserve"> ("Corporaciones Locales" en Contabilidad Nacional):</w:t>
      </w:r>
    </w:p>
    <w:p w14:paraId="0BD559C3" w14:textId="77777777" w:rsidR="005C13AA" w:rsidRPr="005C13AA" w:rsidRDefault="005C13AA" w:rsidP="005C13AA">
      <w:pPr>
        <w:spacing w:before="120" w:after="120" w:line="240" w:lineRule="auto"/>
        <w:jc w:val="both"/>
        <w:rPr>
          <w:rFonts w:ascii="AytoRoquetas Light Condensed" w:eastAsia="Times New Roman" w:hAnsi="AytoRoquetas Light Condensed" w:cs="Times New Roman"/>
          <w:sz w:val="20"/>
          <w:szCs w:val="20"/>
        </w:rPr>
      </w:pPr>
      <w:r w:rsidRPr="005C13AA">
        <w:rPr>
          <w:rFonts w:ascii="AytoRoquetas Light Condensed" w:eastAsia="Times New Roman" w:hAnsi="AytoRoquetas Light Condensed" w:cs="Times New Roman"/>
          <w:sz w:val="20"/>
          <w:szCs w:val="20"/>
        </w:rPr>
        <w:t xml:space="preserve">     - Entidad Local, Ayuntamiento de Roquetas de Mar.</w:t>
      </w:r>
    </w:p>
    <w:p w14:paraId="12E14118" w14:textId="77777777" w:rsidR="005C13AA" w:rsidRPr="005C13AA" w:rsidRDefault="005C13AA" w:rsidP="005C13AA">
      <w:pPr>
        <w:spacing w:before="120" w:after="120" w:line="240" w:lineRule="auto"/>
        <w:jc w:val="both"/>
        <w:rPr>
          <w:rFonts w:ascii="AytoRoquetas Light Condensed" w:eastAsia="Times New Roman" w:hAnsi="AytoRoquetas Light Condensed" w:cs="Times New Roman"/>
          <w:sz w:val="20"/>
          <w:szCs w:val="20"/>
        </w:rPr>
      </w:pPr>
      <w:r w:rsidRPr="005C13AA">
        <w:rPr>
          <w:rFonts w:ascii="AytoRoquetas Light Condensed" w:eastAsia="Times New Roman" w:hAnsi="AytoRoquetas Light Condensed" w:cs="Times New Roman"/>
          <w:sz w:val="20"/>
          <w:szCs w:val="20"/>
        </w:rPr>
        <w:t xml:space="preserve">     - Entes públicos dependientes que presten servicios o produzcan bienes que no se financian mayoritariamente con ingresos comerciales:</w:t>
      </w:r>
    </w:p>
    <w:p w14:paraId="668AF27C" w14:textId="77777777" w:rsidR="005C13AA" w:rsidRPr="005C13AA" w:rsidRDefault="005C13AA" w:rsidP="005C13AA">
      <w:pPr>
        <w:spacing w:before="120" w:after="120" w:line="240" w:lineRule="auto"/>
        <w:jc w:val="both"/>
        <w:rPr>
          <w:rFonts w:ascii="AytoRoquetas Light Condensed" w:eastAsia="Times New Roman" w:hAnsi="AytoRoquetas Light Condensed" w:cs="Times New Roman"/>
          <w:sz w:val="20"/>
          <w:szCs w:val="20"/>
        </w:rPr>
      </w:pPr>
      <w:r w:rsidRPr="005C13AA">
        <w:rPr>
          <w:rFonts w:ascii="AytoRoquetas Light Condensed" w:eastAsia="Times New Roman" w:hAnsi="AytoRoquetas Light Condensed" w:cs="Times New Roman"/>
          <w:sz w:val="20"/>
          <w:szCs w:val="20"/>
        </w:rPr>
        <w:t xml:space="preserve">     * Consorcio para la Prevención y Extinción de Incendios y el Salvamento en el Poniente Almeriense.</w:t>
      </w:r>
    </w:p>
    <w:p w14:paraId="7B8564CC" w14:textId="77777777" w:rsidR="005C13AA" w:rsidRPr="005C13AA" w:rsidRDefault="005C13AA" w:rsidP="005C13AA">
      <w:pPr>
        <w:spacing w:before="120" w:after="120" w:line="240" w:lineRule="auto"/>
        <w:jc w:val="both"/>
        <w:rPr>
          <w:rFonts w:ascii="AytoRoquetas Light Condensed" w:eastAsia="Times New Roman" w:hAnsi="AytoRoquetas Light Condensed" w:cs="Times New Roman"/>
          <w:sz w:val="20"/>
          <w:szCs w:val="20"/>
        </w:rPr>
      </w:pPr>
      <w:r w:rsidRPr="005C13AA">
        <w:rPr>
          <w:rFonts w:ascii="AytoRoquetas Light Condensed" w:eastAsia="Times New Roman" w:hAnsi="AytoRoquetas Light Condensed" w:cs="Times New Roman"/>
          <w:sz w:val="20"/>
          <w:szCs w:val="20"/>
        </w:rPr>
        <w:t xml:space="preserve">     * Consorcio para la Gestión del Servicio de Recogida de Residuos Sólidos Urbanos del Poniente Almeriense.</w:t>
      </w:r>
    </w:p>
    <w:p w14:paraId="41F978F4" w14:textId="7F439947" w:rsidR="005C13AA" w:rsidRDefault="005C13AA" w:rsidP="005C13AA">
      <w:pPr>
        <w:spacing w:before="120" w:after="120" w:line="240" w:lineRule="auto"/>
        <w:jc w:val="both"/>
        <w:rPr>
          <w:rFonts w:ascii="AytoRoquetas Light Condensed" w:eastAsia="Times New Roman" w:hAnsi="AytoRoquetas Light Condensed" w:cs="Times New Roman"/>
          <w:b/>
          <w:bCs/>
          <w:sz w:val="20"/>
          <w:szCs w:val="20"/>
        </w:rPr>
      </w:pPr>
      <w:r w:rsidRPr="005C13AA">
        <w:rPr>
          <w:rFonts w:ascii="AytoRoquetas Light Condensed" w:eastAsia="Times New Roman" w:hAnsi="AytoRoquetas Light Condensed" w:cs="Times New Roman"/>
          <w:b/>
          <w:bCs/>
          <w:sz w:val="20"/>
          <w:szCs w:val="20"/>
        </w:rPr>
        <w:t xml:space="preserve">     B. Resto de unidades, sociedades y entes dependientes de las Entidades Locales.</w:t>
      </w:r>
    </w:p>
    <w:p w14:paraId="70B5985D" w14:textId="6B4F141C" w:rsidR="005C13AA" w:rsidRDefault="005C13AA" w:rsidP="005C13AA">
      <w:pPr>
        <w:spacing w:before="120" w:after="120" w:line="240" w:lineRule="auto"/>
        <w:jc w:val="both"/>
        <w:rPr>
          <w:rFonts w:ascii="AytoRoquetas Light Condensed" w:eastAsia="Times New Roman" w:hAnsi="AytoRoquetas Light Condensed" w:cs="Times New Roman"/>
          <w:b/>
          <w:bCs/>
          <w:sz w:val="20"/>
          <w:szCs w:val="20"/>
        </w:rPr>
      </w:pPr>
      <w:r>
        <w:rPr>
          <w:rFonts w:ascii="AytoRoquetas Light Condensed" w:eastAsia="Times New Roman" w:hAnsi="AytoRoquetas Light Condensed" w:cs="Times New Roman"/>
          <w:b/>
          <w:bCs/>
          <w:sz w:val="20"/>
          <w:szCs w:val="20"/>
        </w:rPr>
        <w:tab/>
        <w:t>*</w:t>
      </w:r>
      <w:r w:rsidRPr="005C13AA">
        <w:rPr>
          <w:rFonts w:ascii="AytoRoquetas Light Condensed" w:eastAsia="Times New Roman" w:hAnsi="AytoRoquetas Light Condensed" w:cs="Times New Roman"/>
          <w:b/>
          <w:sz w:val="20"/>
          <w:szCs w:val="20"/>
        </w:rPr>
        <w:t xml:space="preserve"> </w:t>
      </w:r>
      <w:r w:rsidRPr="00F51B44">
        <w:rPr>
          <w:rFonts w:ascii="AytoRoquetas Light Condensed" w:eastAsia="Times New Roman" w:hAnsi="AytoRoquetas Light Condensed" w:cs="Times New Roman"/>
          <w:b/>
          <w:sz w:val="20"/>
          <w:szCs w:val="20"/>
        </w:rPr>
        <w:t>Consorcio de Gestión de Servicios Integrados de Abastecimiento de Aguas y Saneamiento del Poniente Almeriense (CIAP)</w:t>
      </w:r>
    </w:p>
    <w:p w14:paraId="21BC7146" w14:textId="1AA20388" w:rsidR="0061024C" w:rsidRDefault="0061024C" w:rsidP="005C13AA">
      <w:pPr>
        <w:spacing w:before="120" w:after="120" w:line="240" w:lineRule="auto"/>
        <w:jc w:val="both"/>
        <w:rPr>
          <w:rFonts w:ascii="AytoRoquetas Light Condensed" w:eastAsia="Times New Roman" w:hAnsi="AytoRoquetas Light Condensed" w:cs="Times New Roman"/>
          <w:sz w:val="20"/>
          <w:szCs w:val="20"/>
        </w:rPr>
      </w:pPr>
      <w:r w:rsidRPr="00F51B44">
        <w:rPr>
          <w:rFonts w:ascii="AytoRoquetas Light Condensed" w:eastAsia="Times New Roman" w:hAnsi="AytoRoquetas Light Condensed" w:cs="Times New Roman"/>
          <w:sz w:val="20"/>
          <w:szCs w:val="20"/>
        </w:rPr>
        <w:t>A los efectos de la determinación del ámbito de aplicación subjetivo de la LOEPSF, el Consorcio se encuadra dentro de “Resto de unidades, sociedades y entes dependientes de las Entidades Locales.”, no clasificado como Administración Pública a los efectos de SEC 2010</w:t>
      </w:r>
      <w:r w:rsidR="005C13AA">
        <w:rPr>
          <w:rFonts w:ascii="AytoRoquetas Light Condensed" w:eastAsia="Times New Roman" w:hAnsi="AytoRoquetas Light Condensed" w:cs="Times New Roman"/>
          <w:sz w:val="20"/>
          <w:szCs w:val="20"/>
        </w:rPr>
        <w:t>.</w:t>
      </w:r>
    </w:p>
    <w:p w14:paraId="237C18EB" w14:textId="77777777" w:rsidR="005C13AA" w:rsidRPr="00F51B44" w:rsidRDefault="005C13AA" w:rsidP="005C13AA">
      <w:pPr>
        <w:spacing w:before="120" w:after="120" w:line="240" w:lineRule="auto"/>
        <w:jc w:val="both"/>
        <w:rPr>
          <w:rFonts w:ascii="AytoRoquetas Light Condensed" w:eastAsia="Times New Roman" w:hAnsi="AytoRoquetas Light Condensed" w:cs="Times New Roman"/>
          <w:sz w:val="20"/>
          <w:szCs w:val="20"/>
        </w:rPr>
      </w:pPr>
    </w:p>
    <w:p w14:paraId="555241F3" w14:textId="65FB607B" w:rsidR="0061024C" w:rsidRPr="00F51B44" w:rsidRDefault="005C13AA" w:rsidP="0061024C">
      <w:pPr>
        <w:spacing w:before="120" w:after="120" w:line="240" w:lineRule="auto"/>
        <w:jc w:val="both"/>
        <w:rPr>
          <w:rFonts w:ascii="AytoRoquetas Light Condensed" w:eastAsia="Times New Roman" w:hAnsi="AytoRoquetas Light Condensed" w:cs="Times New Roman"/>
          <w:sz w:val="20"/>
          <w:szCs w:val="20"/>
        </w:rPr>
      </w:pPr>
      <w:r>
        <w:rPr>
          <w:rFonts w:ascii="AytoRoquetas Light Condensed" w:eastAsia="Times New Roman" w:hAnsi="AytoRoquetas Light Condensed" w:cs="Times New Roman"/>
          <w:sz w:val="20"/>
          <w:szCs w:val="20"/>
        </w:rPr>
        <w:t>Es por ello que</w:t>
      </w:r>
      <w:r w:rsidR="0061024C" w:rsidRPr="00F51B44">
        <w:rPr>
          <w:rFonts w:ascii="AytoRoquetas Light Condensed" w:eastAsia="Times New Roman" w:hAnsi="AytoRoquetas Light Condensed" w:cs="Times New Roman"/>
          <w:sz w:val="20"/>
          <w:szCs w:val="20"/>
        </w:rPr>
        <w:t xml:space="preserve"> procede al análisis individualizado del presente Consorcio.</w:t>
      </w:r>
    </w:p>
    <w:p w14:paraId="4FB8F7F8" w14:textId="77777777" w:rsidR="0061024C" w:rsidRPr="00F51B44" w:rsidRDefault="0061024C" w:rsidP="0061024C">
      <w:pPr>
        <w:spacing w:before="120" w:after="120" w:line="240" w:lineRule="auto"/>
        <w:jc w:val="both"/>
        <w:rPr>
          <w:rFonts w:ascii="AytoRoquetas Light Condensed" w:eastAsia="Times New Roman" w:hAnsi="AytoRoquetas Light Condensed" w:cs="Times New Roman"/>
          <w:sz w:val="20"/>
          <w:szCs w:val="20"/>
        </w:rPr>
      </w:pPr>
      <w:r w:rsidRPr="00F51B44">
        <w:rPr>
          <w:rFonts w:ascii="AytoRoquetas Light Condensed" w:eastAsia="Times New Roman" w:hAnsi="AytoRoquetas Light Condensed" w:cs="Times New Roman"/>
          <w:sz w:val="20"/>
          <w:szCs w:val="20"/>
        </w:rPr>
        <w:t>La constatación de principio de estabilidad presupuestaria se realiza en base a los cálculos efectuados y ajustes practicados conforme al "Manual de cálculo del déficit en contabilidad nacional adaptado a las Corporaciones Locales", sobre la base de los capítulos 1 a 7 de los estados de ingresos y gastos presupuestarios en términos de Contabilidad Nacional según SEC 2010:</w:t>
      </w:r>
    </w:p>
    <w:p w14:paraId="060DC621" w14:textId="60121823" w:rsidR="0061024C" w:rsidRPr="00F51B44" w:rsidRDefault="0061024C" w:rsidP="0061024C">
      <w:pPr>
        <w:spacing w:before="120" w:after="120" w:line="240" w:lineRule="auto"/>
        <w:jc w:val="both"/>
        <w:rPr>
          <w:rFonts w:ascii="AytoRoquetas Light Condensed" w:eastAsia="Times New Roman" w:hAnsi="AytoRoquetas Light Condensed" w:cs="Times New Roman"/>
          <w:sz w:val="20"/>
          <w:szCs w:val="20"/>
        </w:rPr>
      </w:pPr>
      <w:r w:rsidRPr="00F51B44">
        <w:rPr>
          <w:rFonts w:ascii="AytoRoquetas Light Condensed" w:eastAsia="Times New Roman" w:hAnsi="AytoRoquetas Light Condensed" w:cs="Times New Roman"/>
          <w:sz w:val="20"/>
          <w:szCs w:val="20"/>
        </w:rPr>
        <w:t>Partimos de la liquidación de los capítulos de gastos e ingresos no financieros del Presupuesto de 202</w:t>
      </w:r>
      <w:r w:rsidR="00D1082A" w:rsidRPr="00F51B44">
        <w:rPr>
          <w:rFonts w:ascii="AytoRoquetas Light Condensed" w:eastAsia="Times New Roman" w:hAnsi="AytoRoquetas Light Condensed" w:cs="Times New Roman"/>
          <w:sz w:val="20"/>
          <w:szCs w:val="20"/>
        </w:rPr>
        <w:t>2</w:t>
      </w:r>
      <w:r w:rsidRPr="00F51B44">
        <w:rPr>
          <w:rFonts w:ascii="AytoRoquetas Light Condensed" w:eastAsia="Times New Roman" w:hAnsi="AytoRoquetas Light Condensed" w:cs="Times New Roman"/>
          <w:sz w:val="20"/>
          <w:szCs w:val="20"/>
        </w:rPr>
        <w:t>:</w:t>
      </w:r>
    </w:p>
    <w:p w14:paraId="59769C14" w14:textId="77777777" w:rsidR="0061024C" w:rsidRPr="00F51B44" w:rsidRDefault="0061024C" w:rsidP="0061024C">
      <w:pPr>
        <w:spacing w:before="120" w:after="120" w:line="240" w:lineRule="auto"/>
        <w:jc w:val="both"/>
        <w:rPr>
          <w:rFonts w:ascii="AytoRoquetas Light Condensed" w:eastAsia="Times New Roman" w:hAnsi="AytoRoquetas Light Condensed" w:cs="Times New Roman"/>
          <w:sz w:val="20"/>
          <w:szCs w:val="20"/>
        </w:rPr>
      </w:pPr>
    </w:p>
    <w:tbl>
      <w:tblPr>
        <w:tblW w:w="6658" w:type="dxa"/>
        <w:jc w:val="center"/>
        <w:tblCellMar>
          <w:left w:w="70" w:type="dxa"/>
          <w:right w:w="70" w:type="dxa"/>
        </w:tblCellMar>
        <w:tblLook w:val="04A0" w:firstRow="1" w:lastRow="0" w:firstColumn="1" w:lastColumn="0" w:noHBand="0" w:noVBand="1"/>
      </w:tblPr>
      <w:tblGrid>
        <w:gridCol w:w="4511"/>
        <w:gridCol w:w="2147"/>
      </w:tblGrid>
      <w:tr w:rsidR="004C375C" w:rsidRPr="004C375C" w14:paraId="04636418" w14:textId="77777777" w:rsidTr="00A7149B">
        <w:trPr>
          <w:trHeight w:val="264"/>
          <w:jc w:val="center"/>
        </w:trPr>
        <w:tc>
          <w:tcPr>
            <w:tcW w:w="45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D5A265" w14:textId="77777777" w:rsidR="004C375C" w:rsidRPr="004C375C" w:rsidRDefault="004C375C" w:rsidP="004C375C">
            <w:pPr>
              <w:spacing w:after="0" w:line="240" w:lineRule="auto"/>
              <w:jc w:val="center"/>
              <w:rPr>
                <w:rFonts w:ascii="AytoRoquetas Light Condensed" w:eastAsia="Times New Roman" w:hAnsi="AytoRoquetas Light Condensed" w:cs="Calibri"/>
                <w:b/>
                <w:bCs/>
                <w:color w:val="000000"/>
                <w:sz w:val="20"/>
                <w:szCs w:val="20"/>
              </w:rPr>
            </w:pPr>
            <w:r w:rsidRPr="004C375C">
              <w:rPr>
                <w:rFonts w:ascii="AytoRoquetas Light Condensed" w:eastAsia="Times New Roman" w:hAnsi="AytoRoquetas Light Condensed" w:cs="Calibri"/>
                <w:b/>
                <w:bCs/>
                <w:color w:val="000000"/>
                <w:sz w:val="20"/>
                <w:szCs w:val="20"/>
              </w:rPr>
              <w:t>CAPITULOS DE INGRESOS DRN</w:t>
            </w:r>
          </w:p>
        </w:tc>
        <w:tc>
          <w:tcPr>
            <w:tcW w:w="2147" w:type="dxa"/>
            <w:tcBorders>
              <w:top w:val="single" w:sz="4" w:space="0" w:color="auto"/>
              <w:left w:val="nil"/>
              <w:bottom w:val="single" w:sz="4" w:space="0" w:color="auto"/>
              <w:right w:val="single" w:sz="4" w:space="0" w:color="auto"/>
            </w:tcBorders>
            <w:shd w:val="clear" w:color="auto" w:fill="auto"/>
            <w:noWrap/>
            <w:vAlign w:val="bottom"/>
            <w:hideMark/>
          </w:tcPr>
          <w:p w14:paraId="3AC3CB84" w14:textId="541C2C9E" w:rsidR="004C375C" w:rsidRPr="004C375C" w:rsidRDefault="004C375C" w:rsidP="004C375C">
            <w:pPr>
              <w:spacing w:after="0" w:line="240" w:lineRule="auto"/>
              <w:jc w:val="center"/>
              <w:rPr>
                <w:rFonts w:ascii="AytoRoquetas Light Condensed" w:eastAsia="Times New Roman" w:hAnsi="AytoRoquetas Light Condensed" w:cs="Calibri"/>
                <w:b/>
                <w:bCs/>
                <w:color w:val="000000"/>
                <w:sz w:val="20"/>
                <w:szCs w:val="20"/>
              </w:rPr>
            </w:pPr>
            <w:r w:rsidRPr="004C375C">
              <w:rPr>
                <w:rFonts w:ascii="AytoRoquetas Light Condensed" w:eastAsia="Times New Roman" w:hAnsi="AytoRoquetas Light Condensed" w:cs="Calibri"/>
                <w:b/>
                <w:bCs/>
                <w:color w:val="000000"/>
                <w:sz w:val="20"/>
                <w:szCs w:val="20"/>
              </w:rPr>
              <w:t>IMPORTE</w:t>
            </w:r>
            <w:r w:rsidR="00A7149B">
              <w:rPr>
                <w:rFonts w:ascii="AytoRoquetas Light Condensed" w:eastAsia="Times New Roman" w:hAnsi="AytoRoquetas Light Condensed" w:cs="Calibri"/>
                <w:b/>
                <w:bCs/>
                <w:color w:val="000000"/>
                <w:sz w:val="20"/>
                <w:szCs w:val="20"/>
              </w:rPr>
              <w:t xml:space="preserve"> (€)</w:t>
            </w:r>
          </w:p>
        </w:tc>
      </w:tr>
      <w:tr w:rsidR="004C375C" w:rsidRPr="004C375C" w14:paraId="6C2B808F" w14:textId="77777777" w:rsidTr="00A7149B">
        <w:trPr>
          <w:trHeight w:val="211"/>
          <w:jc w:val="center"/>
        </w:trPr>
        <w:tc>
          <w:tcPr>
            <w:tcW w:w="4511" w:type="dxa"/>
            <w:tcBorders>
              <w:top w:val="nil"/>
              <w:left w:val="single" w:sz="4" w:space="0" w:color="auto"/>
              <w:bottom w:val="single" w:sz="4" w:space="0" w:color="auto"/>
              <w:right w:val="single" w:sz="4" w:space="0" w:color="auto"/>
            </w:tcBorders>
            <w:shd w:val="clear" w:color="000000" w:fill="FFFFFF"/>
            <w:noWrap/>
            <w:vAlign w:val="center"/>
            <w:hideMark/>
          </w:tcPr>
          <w:p w14:paraId="740397BA" w14:textId="77777777" w:rsidR="004C375C" w:rsidRPr="004C375C" w:rsidRDefault="004C375C" w:rsidP="004C375C">
            <w:pPr>
              <w:spacing w:after="0" w:line="240" w:lineRule="auto"/>
              <w:rPr>
                <w:rFonts w:ascii="AytoRoquetas Light Condensed" w:eastAsia="Times New Roman" w:hAnsi="AytoRoquetas Light Condensed" w:cs="Arial"/>
                <w:sz w:val="20"/>
                <w:szCs w:val="20"/>
              </w:rPr>
            </w:pPr>
            <w:r w:rsidRPr="004C375C">
              <w:rPr>
                <w:rFonts w:ascii="AytoRoquetas Light Condensed" w:eastAsia="Times New Roman" w:hAnsi="AytoRoquetas Light Condensed" w:cs="Arial"/>
                <w:sz w:val="20"/>
                <w:szCs w:val="20"/>
              </w:rPr>
              <w:t>CAPITULO I "IMPUESTOS DIRECTOS"</w:t>
            </w:r>
          </w:p>
        </w:tc>
        <w:tc>
          <w:tcPr>
            <w:tcW w:w="2147" w:type="dxa"/>
            <w:tcBorders>
              <w:top w:val="nil"/>
              <w:left w:val="nil"/>
              <w:bottom w:val="single" w:sz="4" w:space="0" w:color="auto"/>
              <w:right w:val="single" w:sz="4" w:space="0" w:color="auto"/>
            </w:tcBorders>
            <w:shd w:val="clear" w:color="000000" w:fill="FFFFFF"/>
            <w:noWrap/>
            <w:vAlign w:val="center"/>
            <w:hideMark/>
          </w:tcPr>
          <w:p w14:paraId="48E09E73" w14:textId="40AE85C5" w:rsidR="004C375C" w:rsidRPr="004C375C" w:rsidRDefault="004C375C" w:rsidP="00B228F1">
            <w:pPr>
              <w:spacing w:after="0" w:line="240" w:lineRule="auto"/>
              <w:jc w:val="right"/>
              <w:rPr>
                <w:rFonts w:ascii="AytoRoquetas Light Condensed" w:eastAsia="Times New Roman" w:hAnsi="AytoRoquetas Light Condensed" w:cs="Arial"/>
                <w:sz w:val="20"/>
                <w:szCs w:val="20"/>
              </w:rPr>
            </w:pPr>
            <w:r w:rsidRPr="004C375C">
              <w:rPr>
                <w:rFonts w:ascii="AytoRoquetas Light Condensed" w:eastAsia="Times New Roman" w:hAnsi="AytoRoquetas Light Condensed" w:cs="Arial"/>
                <w:sz w:val="20"/>
                <w:szCs w:val="20"/>
              </w:rPr>
              <w:t> </w:t>
            </w:r>
            <w:r w:rsidR="00B228F1">
              <w:rPr>
                <w:rFonts w:ascii="AytoRoquetas Light Condensed" w:eastAsia="Times New Roman" w:hAnsi="AytoRoquetas Light Condensed" w:cs="Arial"/>
                <w:sz w:val="20"/>
                <w:szCs w:val="20"/>
              </w:rPr>
              <w:t>0,00</w:t>
            </w:r>
          </w:p>
        </w:tc>
      </w:tr>
      <w:tr w:rsidR="004C375C" w:rsidRPr="004C375C" w14:paraId="1080C312" w14:textId="77777777" w:rsidTr="00A7149B">
        <w:trPr>
          <w:trHeight w:val="211"/>
          <w:jc w:val="center"/>
        </w:trPr>
        <w:tc>
          <w:tcPr>
            <w:tcW w:w="4511" w:type="dxa"/>
            <w:tcBorders>
              <w:top w:val="nil"/>
              <w:left w:val="single" w:sz="4" w:space="0" w:color="auto"/>
              <w:bottom w:val="single" w:sz="4" w:space="0" w:color="auto"/>
              <w:right w:val="single" w:sz="4" w:space="0" w:color="auto"/>
            </w:tcBorders>
            <w:shd w:val="clear" w:color="000000" w:fill="FFFFFF"/>
            <w:noWrap/>
            <w:vAlign w:val="center"/>
            <w:hideMark/>
          </w:tcPr>
          <w:p w14:paraId="5BEFE589" w14:textId="77777777" w:rsidR="004C375C" w:rsidRPr="004C375C" w:rsidRDefault="004C375C" w:rsidP="004C375C">
            <w:pPr>
              <w:spacing w:after="0" w:line="240" w:lineRule="auto"/>
              <w:rPr>
                <w:rFonts w:ascii="AytoRoquetas Light Condensed" w:eastAsia="Times New Roman" w:hAnsi="AytoRoquetas Light Condensed" w:cs="Arial"/>
                <w:sz w:val="20"/>
                <w:szCs w:val="20"/>
              </w:rPr>
            </w:pPr>
            <w:r w:rsidRPr="004C375C">
              <w:rPr>
                <w:rFonts w:ascii="AytoRoquetas Light Condensed" w:eastAsia="Times New Roman" w:hAnsi="AytoRoquetas Light Condensed" w:cs="Arial"/>
                <w:sz w:val="20"/>
                <w:szCs w:val="20"/>
              </w:rPr>
              <w:t>CAPITULO II "IMPUESTOS INDIRECTOS"</w:t>
            </w:r>
          </w:p>
        </w:tc>
        <w:tc>
          <w:tcPr>
            <w:tcW w:w="2147" w:type="dxa"/>
            <w:tcBorders>
              <w:top w:val="nil"/>
              <w:left w:val="nil"/>
              <w:bottom w:val="single" w:sz="4" w:space="0" w:color="auto"/>
              <w:right w:val="single" w:sz="4" w:space="0" w:color="auto"/>
            </w:tcBorders>
            <w:shd w:val="clear" w:color="000000" w:fill="FFFFFF"/>
            <w:noWrap/>
            <w:vAlign w:val="center"/>
            <w:hideMark/>
          </w:tcPr>
          <w:p w14:paraId="1D458EB7" w14:textId="77777777" w:rsidR="004C375C" w:rsidRPr="004C375C" w:rsidRDefault="004C375C" w:rsidP="004C375C">
            <w:pPr>
              <w:spacing w:after="0" w:line="240" w:lineRule="auto"/>
              <w:jc w:val="right"/>
              <w:rPr>
                <w:rFonts w:ascii="AytoRoquetas Light Condensed" w:eastAsia="Times New Roman" w:hAnsi="AytoRoquetas Light Condensed" w:cs="Arial"/>
                <w:sz w:val="20"/>
                <w:szCs w:val="20"/>
              </w:rPr>
            </w:pPr>
            <w:r w:rsidRPr="004C375C">
              <w:rPr>
                <w:rFonts w:ascii="AytoRoquetas Light Condensed" w:eastAsia="Times New Roman" w:hAnsi="AytoRoquetas Light Condensed" w:cs="Arial"/>
                <w:sz w:val="20"/>
                <w:szCs w:val="20"/>
              </w:rPr>
              <w:t>0,00</w:t>
            </w:r>
          </w:p>
        </w:tc>
      </w:tr>
      <w:tr w:rsidR="004C375C" w:rsidRPr="004C375C" w14:paraId="6CF204DE" w14:textId="77777777" w:rsidTr="00A7149B">
        <w:trPr>
          <w:trHeight w:val="211"/>
          <w:jc w:val="center"/>
        </w:trPr>
        <w:tc>
          <w:tcPr>
            <w:tcW w:w="4511" w:type="dxa"/>
            <w:tcBorders>
              <w:top w:val="nil"/>
              <w:left w:val="single" w:sz="4" w:space="0" w:color="auto"/>
              <w:bottom w:val="single" w:sz="4" w:space="0" w:color="auto"/>
              <w:right w:val="single" w:sz="4" w:space="0" w:color="auto"/>
            </w:tcBorders>
            <w:shd w:val="clear" w:color="000000" w:fill="FFFFFF"/>
            <w:noWrap/>
            <w:vAlign w:val="center"/>
            <w:hideMark/>
          </w:tcPr>
          <w:p w14:paraId="36C8530B" w14:textId="77777777" w:rsidR="004C375C" w:rsidRPr="004C375C" w:rsidRDefault="004C375C" w:rsidP="004C375C">
            <w:pPr>
              <w:spacing w:after="0" w:line="240" w:lineRule="auto"/>
              <w:rPr>
                <w:rFonts w:ascii="AytoRoquetas Light Condensed" w:eastAsia="Times New Roman" w:hAnsi="AytoRoquetas Light Condensed" w:cs="Arial"/>
                <w:sz w:val="20"/>
                <w:szCs w:val="20"/>
              </w:rPr>
            </w:pPr>
            <w:r w:rsidRPr="004C375C">
              <w:rPr>
                <w:rFonts w:ascii="AytoRoquetas Light Condensed" w:eastAsia="Times New Roman" w:hAnsi="AytoRoquetas Light Condensed" w:cs="Arial"/>
                <w:sz w:val="20"/>
                <w:szCs w:val="20"/>
              </w:rPr>
              <w:t>CAPITULO III "TASAS Y OTROS INGRESOS"</w:t>
            </w:r>
          </w:p>
        </w:tc>
        <w:tc>
          <w:tcPr>
            <w:tcW w:w="2147" w:type="dxa"/>
            <w:tcBorders>
              <w:top w:val="nil"/>
              <w:left w:val="nil"/>
              <w:bottom w:val="single" w:sz="4" w:space="0" w:color="auto"/>
              <w:right w:val="single" w:sz="4" w:space="0" w:color="auto"/>
            </w:tcBorders>
            <w:shd w:val="clear" w:color="000000" w:fill="FFFFFF"/>
            <w:noWrap/>
            <w:vAlign w:val="center"/>
            <w:hideMark/>
          </w:tcPr>
          <w:p w14:paraId="3E26AE1B" w14:textId="77777777" w:rsidR="004C375C" w:rsidRPr="004C375C" w:rsidRDefault="004C375C" w:rsidP="004C375C">
            <w:pPr>
              <w:spacing w:after="0" w:line="240" w:lineRule="auto"/>
              <w:jc w:val="right"/>
              <w:rPr>
                <w:rFonts w:ascii="AytoRoquetas Light Condensed" w:eastAsia="Times New Roman" w:hAnsi="AytoRoquetas Light Condensed" w:cs="Arial"/>
                <w:sz w:val="20"/>
                <w:szCs w:val="20"/>
              </w:rPr>
            </w:pPr>
            <w:r w:rsidRPr="004C375C">
              <w:rPr>
                <w:rFonts w:ascii="AytoRoquetas Light Condensed" w:eastAsia="Times New Roman" w:hAnsi="AytoRoquetas Light Condensed" w:cs="Arial"/>
                <w:sz w:val="20"/>
                <w:szCs w:val="20"/>
              </w:rPr>
              <w:t>0,00</w:t>
            </w:r>
          </w:p>
        </w:tc>
      </w:tr>
      <w:tr w:rsidR="004C375C" w:rsidRPr="004C375C" w14:paraId="43B9F7F1" w14:textId="77777777" w:rsidTr="00A7149B">
        <w:trPr>
          <w:trHeight w:val="211"/>
          <w:jc w:val="center"/>
        </w:trPr>
        <w:tc>
          <w:tcPr>
            <w:tcW w:w="4511" w:type="dxa"/>
            <w:tcBorders>
              <w:top w:val="nil"/>
              <w:left w:val="single" w:sz="4" w:space="0" w:color="auto"/>
              <w:bottom w:val="single" w:sz="4" w:space="0" w:color="auto"/>
              <w:right w:val="single" w:sz="4" w:space="0" w:color="auto"/>
            </w:tcBorders>
            <w:shd w:val="clear" w:color="000000" w:fill="FFFFFF"/>
            <w:noWrap/>
            <w:vAlign w:val="center"/>
            <w:hideMark/>
          </w:tcPr>
          <w:p w14:paraId="1BB1A84B" w14:textId="77777777" w:rsidR="004C375C" w:rsidRPr="004C375C" w:rsidRDefault="004C375C" w:rsidP="004C375C">
            <w:pPr>
              <w:spacing w:after="0" w:line="240" w:lineRule="auto"/>
              <w:rPr>
                <w:rFonts w:ascii="AytoRoquetas Light Condensed" w:eastAsia="Times New Roman" w:hAnsi="AytoRoquetas Light Condensed" w:cs="Arial"/>
                <w:sz w:val="20"/>
                <w:szCs w:val="20"/>
              </w:rPr>
            </w:pPr>
            <w:r w:rsidRPr="004C375C">
              <w:rPr>
                <w:rFonts w:ascii="AytoRoquetas Light Condensed" w:eastAsia="Times New Roman" w:hAnsi="AytoRoquetas Light Condensed" w:cs="Arial"/>
                <w:sz w:val="20"/>
                <w:szCs w:val="20"/>
              </w:rPr>
              <w:t>CAPITULO IV "TRANSFERENCIAS CORRIENTES"</w:t>
            </w:r>
          </w:p>
        </w:tc>
        <w:tc>
          <w:tcPr>
            <w:tcW w:w="2147" w:type="dxa"/>
            <w:tcBorders>
              <w:top w:val="nil"/>
              <w:left w:val="nil"/>
              <w:bottom w:val="single" w:sz="4" w:space="0" w:color="auto"/>
              <w:right w:val="single" w:sz="4" w:space="0" w:color="auto"/>
            </w:tcBorders>
            <w:shd w:val="clear" w:color="000000" w:fill="FFFFFF"/>
            <w:noWrap/>
            <w:vAlign w:val="center"/>
            <w:hideMark/>
          </w:tcPr>
          <w:p w14:paraId="0992119A" w14:textId="77777777" w:rsidR="004C375C" w:rsidRPr="004C375C" w:rsidRDefault="004C375C" w:rsidP="004C375C">
            <w:pPr>
              <w:spacing w:after="0" w:line="240" w:lineRule="auto"/>
              <w:jc w:val="right"/>
              <w:rPr>
                <w:rFonts w:ascii="AytoRoquetas Light Condensed" w:eastAsia="Times New Roman" w:hAnsi="AytoRoquetas Light Condensed" w:cs="Arial"/>
                <w:sz w:val="20"/>
                <w:szCs w:val="20"/>
              </w:rPr>
            </w:pPr>
            <w:r w:rsidRPr="004C375C">
              <w:rPr>
                <w:rFonts w:ascii="AytoRoquetas Light Condensed" w:eastAsia="Times New Roman" w:hAnsi="AytoRoquetas Light Condensed" w:cs="Arial"/>
                <w:sz w:val="20"/>
                <w:szCs w:val="20"/>
              </w:rPr>
              <w:t>0,00</w:t>
            </w:r>
          </w:p>
        </w:tc>
      </w:tr>
      <w:tr w:rsidR="004C375C" w:rsidRPr="004C375C" w14:paraId="0FCA1B3E" w14:textId="77777777" w:rsidTr="00A7149B">
        <w:trPr>
          <w:trHeight w:val="211"/>
          <w:jc w:val="center"/>
        </w:trPr>
        <w:tc>
          <w:tcPr>
            <w:tcW w:w="4511" w:type="dxa"/>
            <w:tcBorders>
              <w:top w:val="nil"/>
              <w:left w:val="single" w:sz="4" w:space="0" w:color="auto"/>
              <w:bottom w:val="single" w:sz="4" w:space="0" w:color="auto"/>
              <w:right w:val="single" w:sz="4" w:space="0" w:color="auto"/>
            </w:tcBorders>
            <w:shd w:val="clear" w:color="000000" w:fill="FFFFFF"/>
            <w:noWrap/>
            <w:vAlign w:val="center"/>
            <w:hideMark/>
          </w:tcPr>
          <w:p w14:paraId="5069BED4" w14:textId="77777777" w:rsidR="004C375C" w:rsidRPr="004C375C" w:rsidRDefault="004C375C" w:rsidP="004C375C">
            <w:pPr>
              <w:spacing w:after="0" w:line="240" w:lineRule="auto"/>
              <w:rPr>
                <w:rFonts w:ascii="AytoRoquetas Light Condensed" w:eastAsia="Times New Roman" w:hAnsi="AytoRoquetas Light Condensed" w:cs="Arial"/>
                <w:sz w:val="20"/>
                <w:szCs w:val="20"/>
              </w:rPr>
            </w:pPr>
            <w:r w:rsidRPr="004C375C">
              <w:rPr>
                <w:rFonts w:ascii="AytoRoquetas Light Condensed" w:eastAsia="Times New Roman" w:hAnsi="AytoRoquetas Light Condensed" w:cs="Arial"/>
                <w:sz w:val="20"/>
                <w:szCs w:val="20"/>
              </w:rPr>
              <w:t>CAPITULO V "INGRESOS PATRIMONIALES"</w:t>
            </w:r>
          </w:p>
        </w:tc>
        <w:tc>
          <w:tcPr>
            <w:tcW w:w="2147" w:type="dxa"/>
            <w:tcBorders>
              <w:top w:val="nil"/>
              <w:left w:val="nil"/>
              <w:bottom w:val="single" w:sz="4" w:space="0" w:color="auto"/>
              <w:right w:val="single" w:sz="4" w:space="0" w:color="auto"/>
            </w:tcBorders>
            <w:shd w:val="clear" w:color="000000" w:fill="FFFFFF"/>
            <w:noWrap/>
            <w:vAlign w:val="center"/>
            <w:hideMark/>
          </w:tcPr>
          <w:p w14:paraId="03CAA289" w14:textId="08030C8F" w:rsidR="004C375C" w:rsidRPr="004C375C" w:rsidRDefault="00442937" w:rsidP="004C375C">
            <w:pPr>
              <w:spacing w:after="0" w:line="240" w:lineRule="auto"/>
              <w:jc w:val="right"/>
              <w:rPr>
                <w:rFonts w:ascii="AytoRoquetas Light Condensed" w:eastAsia="Times New Roman" w:hAnsi="AytoRoquetas Light Condensed" w:cs="Arial"/>
                <w:sz w:val="20"/>
                <w:szCs w:val="20"/>
              </w:rPr>
            </w:pPr>
            <w:r>
              <w:rPr>
                <w:rFonts w:ascii="AytoRoquetas Light Condensed" w:eastAsia="Times New Roman" w:hAnsi="AytoRoquetas Light Condensed" w:cs="Arial"/>
                <w:sz w:val="20"/>
                <w:szCs w:val="20"/>
              </w:rPr>
              <w:t>467.827,69</w:t>
            </w:r>
          </w:p>
        </w:tc>
      </w:tr>
      <w:tr w:rsidR="004C375C" w:rsidRPr="004C375C" w14:paraId="047EEE0E" w14:textId="77777777" w:rsidTr="00A7149B">
        <w:trPr>
          <w:trHeight w:val="211"/>
          <w:jc w:val="center"/>
        </w:trPr>
        <w:tc>
          <w:tcPr>
            <w:tcW w:w="4511" w:type="dxa"/>
            <w:tcBorders>
              <w:top w:val="nil"/>
              <w:left w:val="single" w:sz="4" w:space="0" w:color="auto"/>
              <w:bottom w:val="single" w:sz="4" w:space="0" w:color="auto"/>
              <w:right w:val="single" w:sz="4" w:space="0" w:color="auto"/>
            </w:tcBorders>
            <w:shd w:val="clear" w:color="000000" w:fill="FFFFFF"/>
            <w:noWrap/>
            <w:vAlign w:val="center"/>
            <w:hideMark/>
          </w:tcPr>
          <w:p w14:paraId="5783D936" w14:textId="77777777" w:rsidR="004C375C" w:rsidRPr="004C375C" w:rsidRDefault="004C375C" w:rsidP="004C375C">
            <w:pPr>
              <w:spacing w:after="0" w:line="240" w:lineRule="auto"/>
              <w:rPr>
                <w:rFonts w:ascii="AytoRoquetas Light Condensed" w:eastAsia="Times New Roman" w:hAnsi="AytoRoquetas Light Condensed" w:cs="Arial"/>
                <w:sz w:val="20"/>
                <w:szCs w:val="20"/>
              </w:rPr>
            </w:pPr>
            <w:r w:rsidRPr="004C375C">
              <w:rPr>
                <w:rFonts w:ascii="AytoRoquetas Light Condensed" w:eastAsia="Times New Roman" w:hAnsi="AytoRoquetas Light Condensed" w:cs="Arial"/>
                <w:sz w:val="20"/>
                <w:szCs w:val="20"/>
              </w:rPr>
              <w:t>CAPITULO VI "ENAJENACION DE INVERSIONES REALES"</w:t>
            </w:r>
          </w:p>
        </w:tc>
        <w:tc>
          <w:tcPr>
            <w:tcW w:w="2147" w:type="dxa"/>
            <w:tcBorders>
              <w:top w:val="nil"/>
              <w:left w:val="nil"/>
              <w:bottom w:val="single" w:sz="4" w:space="0" w:color="auto"/>
              <w:right w:val="single" w:sz="4" w:space="0" w:color="auto"/>
            </w:tcBorders>
            <w:shd w:val="clear" w:color="000000" w:fill="FFFFFF"/>
            <w:noWrap/>
            <w:vAlign w:val="center"/>
            <w:hideMark/>
          </w:tcPr>
          <w:p w14:paraId="7830D597" w14:textId="77777777" w:rsidR="004C375C" w:rsidRPr="00442937" w:rsidRDefault="004C375C" w:rsidP="004C375C">
            <w:pPr>
              <w:spacing w:after="0" w:line="240" w:lineRule="auto"/>
              <w:jc w:val="right"/>
              <w:rPr>
                <w:rFonts w:ascii="AytoRoquetas Light Condensed" w:eastAsia="Times New Roman" w:hAnsi="AytoRoquetas Light Condensed" w:cs="Arial"/>
                <w:sz w:val="20"/>
                <w:szCs w:val="20"/>
              </w:rPr>
            </w:pPr>
            <w:r w:rsidRPr="00442937">
              <w:rPr>
                <w:rFonts w:ascii="AytoRoquetas Light Condensed" w:eastAsia="Times New Roman" w:hAnsi="AytoRoquetas Light Condensed" w:cs="Arial"/>
                <w:sz w:val="20"/>
                <w:szCs w:val="20"/>
              </w:rPr>
              <w:t>0,00</w:t>
            </w:r>
          </w:p>
        </w:tc>
      </w:tr>
      <w:tr w:rsidR="004C375C" w:rsidRPr="004C375C" w14:paraId="1C0957C2" w14:textId="77777777" w:rsidTr="00A7149B">
        <w:trPr>
          <w:trHeight w:val="211"/>
          <w:jc w:val="center"/>
        </w:trPr>
        <w:tc>
          <w:tcPr>
            <w:tcW w:w="4511" w:type="dxa"/>
            <w:tcBorders>
              <w:top w:val="nil"/>
              <w:left w:val="single" w:sz="4" w:space="0" w:color="auto"/>
              <w:bottom w:val="single" w:sz="4" w:space="0" w:color="auto"/>
              <w:right w:val="single" w:sz="4" w:space="0" w:color="auto"/>
            </w:tcBorders>
            <w:shd w:val="clear" w:color="000000" w:fill="FFFFFF"/>
            <w:noWrap/>
            <w:vAlign w:val="center"/>
            <w:hideMark/>
          </w:tcPr>
          <w:p w14:paraId="147F4DA7" w14:textId="77777777" w:rsidR="004C375C" w:rsidRPr="004C375C" w:rsidRDefault="004C375C" w:rsidP="004C375C">
            <w:pPr>
              <w:spacing w:after="0" w:line="240" w:lineRule="auto"/>
              <w:rPr>
                <w:rFonts w:ascii="AytoRoquetas Light Condensed" w:eastAsia="Times New Roman" w:hAnsi="AytoRoquetas Light Condensed" w:cs="Arial"/>
                <w:sz w:val="20"/>
                <w:szCs w:val="20"/>
              </w:rPr>
            </w:pPr>
            <w:r w:rsidRPr="004C375C">
              <w:rPr>
                <w:rFonts w:ascii="AytoRoquetas Light Condensed" w:eastAsia="Times New Roman" w:hAnsi="AytoRoquetas Light Condensed" w:cs="Arial"/>
                <w:sz w:val="20"/>
                <w:szCs w:val="20"/>
              </w:rPr>
              <w:t>CAPITULO VII "TRANSFERENCIAS DE CAPITAL"</w:t>
            </w:r>
          </w:p>
        </w:tc>
        <w:tc>
          <w:tcPr>
            <w:tcW w:w="2147" w:type="dxa"/>
            <w:tcBorders>
              <w:top w:val="nil"/>
              <w:left w:val="nil"/>
              <w:bottom w:val="single" w:sz="4" w:space="0" w:color="auto"/>
              <w:right w:val="single" w:sz="4" w:space="0" w:color="auto"/>
            </w:tcBorders>
            <w:shd w:val="clear" w:color="000000" w:fill="FFFFFF"/>
            <w:noWrap/>
            <w:vAlign w:val="center"/>
            <w:hideMark/>
          </w:tcPr>
          <w:p w14:paraId="72D2CCD7" w14:textId="63744553" w:rsidR="004C375C" w:rsidRPr="00442937" w:rsidRDefault="00442937" w:rsidP="004C375C">
            <w:pPr>
              <w:spacing w:after="0" w:line="240" w:lineRule="auto"/>
              <w:jc w:val="right"/>
              <w:rPr>
                <w:rFonts w:ascii="AytoRoquetas Light Condensed" w:eastAsia="Times New Roman" w:hAnsi="AytoRoquetas Light Condensed" w:cs="Arial"/>
                <w:sz w:val="20"/>
                <w:szCs w:val="20"/>
              </w:rPr>
            </w:pPr>
            <w:r>
              <w:rPr>
                <w:rFonts w:ascii="AytoRoquetas Light Condensed" w:eastAsia="Times New Roman" w:hAnsi="AytoRoquetas Light Condensed" w:cs="Arial"/>
                <w:sz w:val="20"/>
                <w:szCs w:val="20"/>
              </w:rPr>
              <w:t>100.935,62</w:t>
            </w:r>
          </w:p>
        </w:tc>
      </w:tr>
      <w:tr w:rsidR="004C375C" w:rsidRPr="004C375C" w14:paraId="63536C5C" w14:textId="77777777" w:rsidTr="00A7149B">
        <w:trPr>
          <w:trHeight w:val="211"/>
          <w:jc w:val="center"/>
        </w:trPr>
        <w:tc>
          <w:tcPr>
            <w:tcW w:w="4511" w:type="dxa"/>
            <w:tcBorders>
              <w:top w:val="nil"/>
              <w:left w:val="single" w:sz="4" w:space="0" w:color="auto"/>
              <w:bottom w:val="single" w:sz="4" w:space="0" w:color="auto"/>
              <w:right w:val="single" w:sz="4" w:space="0" w:color="auto"/>
            </w:tcBorders>
            <w:shd w:val="clear" w:color="000000" w:fill="FFFFFF"/>
            <w:noWrap/>
            <w:vAlign w:val="center"/>
            <w:hideMark/>
          </w:tcPr>
          <w:p w14:paraId="2D786680" w14:textId="77777777" w:rsidR="004C375C" w:rsidRPr="004C375C" w:rsidRDefault="004C375C" w:rsidP="004C375C">
            <w:pPr>
              <w:spacing w:after="0" w:line="240" w:lineRule="auto"/>
              <w:rPr>
                <w:rFonts w:ascii="AytoRoquetas Light Condensed" w:eastAsia="Times New Roman" w:hAnsi="AytoRoquetas Light Condensed" w:cs="Arial"/>
                <w:b/>
                <w:bCs/>
                <w:i/>
                <w:iCs/>
                <w:sz w:val="20"/>
                <w:szCs w:val="20"/>
              </w:rPr>
            </w:pPr>
            <w:r w:rsidRPr="004C375C">
              <w:rPr>
                <w:rFonts w:ascii="AytoRoquetas Light Condensed" w:eastAsia="Times New Roman" w:hAnsi="AytoRoquetas Light Condensed" w:cs="Arial"/>
                <w:b/>
                <w:bCs/>
                <w:i/>
                <w:iCs/>
                <w:sz w:val="20"/>
                <w:szCs w:val="20"/>
              </w:rPr>
              <w:t>1) TOTAL INGRESOS NO FINANCIEROS SIN AJUSTES SEC</w:t>
            </w:r>
          </w:p>
        </w:tc>
        <w:tc>
          <w:tcPr>
            <w:tcW w:w="2147" w:type="dxa"/>
            <w:tcBorders>
              <w:top w:val="nil"/>
              <w:left w:val="nil"/>
              <w:bottom w:val="single" w:sz="4" w:space="0" w:color="auto"/>
              <w:right w:val="single" w:sz="4" w:space="0" w:color="auto"/>
            </w:tcBorders>
            <w:shd w:val="clear" w:color="000000" w:fill="FFFFFF"/>
            <w:noWrap/>
            <w:vAlign w:val="center"/>
            <w:hideMark/>
          </w:tcPr>
          <w:p w14:paraId="7F00F8BD" w14:textId="6D3A7C3D" w:rsidR="004C375C" w:rsidRPr="004C375C" w:rsidRDefault="00442937" w:rsidP="004C375C">
            <w:pPr>
              <w:spacing w:after="0" w:line="240" w:lineRule="auto"/>
              <w:jc w:val="right"/>
              <w:rPr>
                <w:rFonts w:ascii="AytoRoquetas Light Condensed" w:eastAsia="Times New Roman" w:hAnsi="AytoRoquetas Light Condensed" w:cs="Arial"/>
                <w:b/>
                <w:bCs/>
                <w:i/>
                <w:iCs/>
                <w:sz w:val="20"/>
                <w:szCs w:val="20"/>
              </w:rPr>
            </w:pPr>
            <w:r>
              <w:rPr>
                <w:rFonts w:ascii="AytoRoquetas Light Condensed" w:eastAsia="Times New Roman" w:hAnsi="AytoRoquetas Light Condensed" w:cs="Arial"/>
                <w:b/>
                <w:bCs/>
                <w:i/>
                <w:iCs/>
                <w:sz w:val="20"/>
                <w:szCs w:val="20"/>
              </w:rPr>
              <w:t>568.753.31</w:t>
            </w:r>
          </w:p>
        </w:tc>
      </w:tr>
      <w:tr w:rsidR="004C375C" w:rsidRPr="004C375C" w14:paraId="12AEA7DE" w14:textId="77777777" w:rsidTr="00A7149B">
        <w:trPr>
          <w:trHeight w:val="264"/>
          <w:jc w:val="center"/>
        </w:trPr>
        <w:tc>
          <w:tcPr>
            <w:tcW w:w="4511" w:type="dxa"/>
            <w:tcBorders>
              <w:top w:val="nil"/>
              <w:left w:val="single" w:sz="4" w:space="0" w:color="auto"/>
              <w:bottom w:val="single" w:sz="4" w:space="0" w:color="auto"/>
              <w:right w:val="single" w:sz="4" w:space="0" w:color="auto"/>
            </w:tcBorders>
            <w:shd w:val="clear" w:color="auto" w:fill="auto"/>
            <w:noWrap/>
            <w:vAlign w:val="bottom"/>
            <w:hideMark/>
          </w:tcPr>
          <w:p w14:paraId="1270EF73" w14:textId="77777777" w:rsidR="004C375C" w:rsidRPr="004C375C" w:rsidRDefault="004C375C" w:rsidP="004C375C">
            <w:pPr>
              <w:spacing w:after="0" w:line="240" w:lineRule="auto"/>
              <w:jc w:val="center"/>
              <w:rPr>
                <w:rFonts w:ascii="AytoRoquetas Light Condensed" w:eastAsia="Times New Roman" w:hAnsi="AytoRoquetas Light Condensed" w:cs="Calibri"/>
                <w:b/>
                <w:bCs/>
                <w:color w:val="000000"/>
                <w:sz w:val="20"/>
                <w:szCs w:val="20"/>
              </w:rPr>
            </w:pPr>
            <w:r w:rsidRPr="004C375C">
              <w:rPr>
                <w:rFonts w:ascii="AytoRoquetas Light Condensed" w:eastAsia="Times New Roman" w:hAnsi="AytoRoquetas Light Condensed" w:cs="Calibri"/>
                <w:b/>
                <w:bCs/>
                <w:color w:val="000000"/>
                <w:sz w:val="20"/>
                <w:szCs w:val="20"/>
              </w:rPr>
              <w:t>CAPITULOS DE GASTOS ORN</w:t>
            </w:r>
          </w:p>
        </w:tc>
        <w:tc>
          <w:tcPr>
            <w:tcW w:w="2147" w:type="dxa"/>
            <w:tcBorders>
              <w:top w:val="nil"/>
              <w:left w:val="nil"/>
              <w:bottom w:val="single" w:sz="4" w:space="0" w:color="auto"/>
              <w:right w:val="single" w:sz="4" w:space="0" w:color="auto"/>
            </w:tcBorders>
            <w:shd w:val="clear" w:color="000000" w:fill="FFFFFF"/>
            <w:noWrap/>
            <w:vAlign w:val="bottom"/>
            <w:hideMark/>
          </w:tcPr>
          <w:p w14:paraId="119EC315" w14:textId="77777777" w:rsidR="004C375C" w:rsidRPr="004C375C" w:rsidRDefault="004C375C" w:rsidP="004C375C">
            <w:pPr>
              <w:spacing w:after="0" w:line="240" w:lineRule="auto"/>
              <w:jc w:val="center"/>
              <w:rPr>
                <w:rFonts w:ascii="AytoRoquetas Light Condensed" w:eastAsia="Times New Roman" w:hAnsi="AytoRoquetas Light Condensed" w:cs="Calibri"/>
                <w:b/>
                <w:bCs/>
                <w:color w:val="000000"/>
                <w:sz w:val="20"/>
                <w:szCs w:val="20"/>
              </w:rPr>
            </w:pPr>
            <w:r w:rsidRPr="004C375C">
              <w:rPr>
                <w:rFonts w:ascii="AytoRoquetas Light Condensed" w:eastAsia="Times New Roman" w:hAnsi="AytoRoquetas Light Condensed" w:cs="Calibri"/>
                <w:b/>
                <w:bCs/>
                <w:color w:val="000000"/>
                <w:sz w:val="20"/>
                <w:szCs w:val="20"/>
              </w:rPr>
              <w:t>IMPORTE</w:t>
            </w:r>
          </w:p>
        </w:tc>
      </w:tr>
      <w:tr w:rsidR="004C375C" w:rsidRPr="004C375C" w14:paraId="2CA24DD3" w14:textId="77777777" w:rsidTr="00A7149B">
        <w:trPr>
          <w:trHeight w:val="211"/>
          <w:jc w:val="center"/>
        </w:trPr>
        <w:tc>
          <w:tcPr>
            <w:tcW w:w="4511" w:type="dxa"/>
            <w:tcBorders>
              <w:top w:val="nil"/>
              <w:left w:val="single" w:sz="4" w:space="0" w:color="auto"/>
              <w:bottom w:val="single" w:sz="4" w:space="0" w:color="auto"/>
              <w:right w:val="single" w:sz="4" w:space="0" w:color="auto"/>
            </w:tcBorders>
            <w:shd w:val="clear" w:color="000000" w:fill="FFFFFF"/>
            <w:noWrap/>
            <w:vAlign w:val="center"/>
            <w:hideMark/>
          </w:tcPr>
          <w:p w14:paraId="516A9BB5" w14:textId="77777777" w:rsidR="004C375C" w:rsidRPr="004C375C" w:rsidRDefault="004C375C" w:rsidP="004C375C">
            <w:pPr>
              <w:spacing w:after="0" w:line="240" w:lineRule="auto"/>
              <w:rPr>
                <w:rFonts w:ascii="AytoRoquetas Light Condensed" w:eastAsia="Times New Roman" w:hAnsi="AytoRoquetas Light Condensed" w:cs="Arial"/>
                <w:sz w:val="20"/>
                <w:szCs w:val="20"/>
              </w:rPr>
            </w:pPr>
            <w:r w:rsidRPr="004C375C">
              <w:rPr>
                <w:rFonts w:ascii="AytoRoquetas Light Condensed" w:eastAsia="Times New Roman" w:hAnsi="AytoRoquetas Light Condensed" w:cs="Arial"/>
                <w:sz w:val="20"/>
                <w:szCs w:val="20"/>
              </w:rPr>
              <w:t>CAPITULO I "GASTOS DE PERSONAL"</w:t>
            </w:r>
          </w:p>
        </w:tc>
        <w:tc>
          <w:tcPr>
            <w:tcW w:w="2147" w:type="dxa"/>
            <w:tcBorders>
              <w:top w:val="nil"/>
              <w:left w:val="nil"/>
              <w:bottom w:val="single" w:sz="4" w:space="0" w:color="auto"/>
              <w:right w:val="single" w:sz="4" w:space="0" w:color="auto"/>
            </w:tcBorders>
            <w:shd w:val="clear" w:color="000000" w:fill="FFFFFF"/>
            <w:noWrap/>
            <w:vAlign w:val="center"/>
            <w:hideMark/>
          </w:tcPr>
          <w:p w14:paraId="01E4411B" w14:textId="77777777" w:rsidR="004C375C" w:rsidRPr="004C375C" w:rsidRDefault="004C375C" w:rsidP="004C375C">
            <w:pPr>
              <w:spacing w:after="0" w:line="240" w:lineRule="auto"/>
              <w:jc w:val="right"/>
              <w:rPr>
                <w:rFonts w:ascii="AytoRoquetas Light Condensed" w:eastAsia="Times New Roman" w:hAnsi="AytoRoquetas Light Condensed" w:cs="Arial"/>
                <w:sz w:val="20"/>
                <w:szCs w:val="20"/>
              </w:rPr>
            </w:pPr>
            <w:r w:rsidRPr="004C375C">
              <w:rPr>
                <w:rFonts w:ascii="AytoRoquetas Light Condensed" w:eastAsia="Times New Roman" w:hAnsi="AytoRoquetas Light Condensed" w:cs="Arial"/>
                <w:sz w:val="20"/>
                <w:szCs w:val="20"/>
              </w:rPr>
              <w:t>0,00</w:t>
            </w:r>
          </w:p>
        </w:tc>
      </w:tr>
      <w:tr w:rsidR="004C375C" w:rsidRPr="004C375C" w14:paraId="10871231" w14:textId="77777777" w:rsidTr="00A7149B">
        <w:trPr>
          <w:trHeight w:val="211"/>
          <w:jc w:val="center"/>
        </w:trPr>
        <w:tc>
          <w:tcPr>
            <w:tcW w:w="4511" w:type="dxa"/>
            <w:tcBorders>
              <w:top w:val="nil"/>
              <w:left w:val="single" w:sz="4" w:space="0" w:color="auto"/>
              <w:bottom w:val="single" w:sz="4" w:space="0" w:color="auto"/>
              <w:right w:val="single" w:sz="4" w:space="0" w:color="auto"/>
            </w:tcBorders>
            <w:shd w:val="clear" w:color="000000" w:fill="FFFFFF"/>
            <w:noWrap/>
            <w:vAlign w:val="center"/>
            <w:hideMark/>
          </w:tcPr>
          <w:p w14:paraId="69906727" w14:textId="77777777" w:rsidR="004C375C" w:rsidRPr="004C375C" w:rsidRDefault="004C375C" w:rsidP="004C375C">
            <w:pPr>
              <w:spacing w:after="0" w:line="240" w:lineRule="auto"/>
              <w:rPr>
                <w:rFonts w:ascii="AytoRoquetas Light Condensed" w:eastAsia="Times New Roman" w:hAnsi="AytoRoquetas Light Condensed" w:cs="Arial"/>
                <w:sz w:val="20"/>
                <w:szCs w:val="20"/>
              </w:rPr>
            </w:pPr>
            <w:r w:rsidRPr="004C375C">
              <w:rPr>
                <w:rFonts w:ascii="AytoRoquetas Light Condensed" w:eastAsia="Times New Roman" w:hAnsi="AytoRoquetas Light Condensed" w:cs="Arial"/>
                <w:sz w:val="20"/>
                <w:szCs w:val="20"/>
              </w:rPr>
              <w:t>CAPITULO II "COMPRA DE BIENES CTES.Y SERVICIOS"</w:t>
            </w:r>
          </w:p>
        </w:tc>
        <w:tc>
          <w:tcPr>
            <w:tcW w:w="2147" w:type="dxa"/>
            <w:tcBorders>
              <w:top w:val="nil"/>
              <w:left w:val="nil"/>
              <w:bottom w:val="single" w:sz="4" w:space="0" w:color="auto"/>
              <w:right w:val="single" w:sz="4" w:space="0" w:color="auto"/>
            </w:tcBorders>
            <w:shd w:val="clear" w:color="000000" w:fill="FFFFFF"/>
            <w:noWrap/>
            <w:vAlign w:val="center"/>
            <w:hideMark/>
          </w:tcPr>
          <w:p w14:paraId="63D2294B" w14:textId="5A03D23A" w:rsidR="004C375C" w:rsidRPr="004C375C" w:rsidRDefault="003B6393" w:rsidP="004C375C">
            <w:pPr>
              <w:spacing w:after="0" w:line="240" w:lineRule="auto"/>
              <w:jc w:val="right"/>
              <w:rPr>
                <w:rFonts w:ascii="AytoRoquetas Light Condensed" w:eastAsia="Times New Roman" w:hAnsi="AytoRoquetas Light Condensed" w:cs="Arial"/>
                <w:sz w:val="20"/>
                <w:szCs w:val="20"/>
              </w:rPr>
            </w:pPr>
            <w:r>
              <w:rPr>
                <w:rFonts w:ascii="AytoRoquetas Light Condensed" w:eastAsia="Times New Roman" w:hAnsi="AytoRoquetas Light Condensed" w:cs="Arial"/>
                <w:sz w:val="20"/>
                <w:szCs w:val="20"/>
              </w:rPr>
              <w:t>150.646,99</w:t>
            </w:r>
          </w:p>
        </w:tc>
      </w:tr>
      <w:tr w:rsidR="004C375C" w:rsidRPr="004C375C" w14:paraId="38D3C3D9" w14:textId="77777777" w:rsidTr="00A7149B">
        <w:trPr>
          <w:trHeight w:val="211"/>
          <w:jc w:val="center"/>
        </w:trPr>
        <w:tc>
          <w:tcPr>
            <w:tcW w:w="4511" w:type="dxa"/>
            <w:tcBorders>
              <w:top w:val="nil"/>
              <w:left w:val="single" w:sz="4" w:space="0" w:color="auto"/>
              <w:bottom w:val="single" w:sz="4" w:space="0" w:color="auto"/>
              <w:right w:val="single" w:sz="4" w:space="0" w:color="auto"/>
            </w:tcBorders>
            <w:shd w:val="clear" w:color="000000" w:fill="FFFFFF"/>
            <w:noWrap/>
            <w:vAlign w:val="center"/>
            <w:hideMark/>
          </w:tcPr>
          <w:p w14:paraId="28D1A384" w14:textId="77777777" w:rsidR="004C375C" w:rsidRPr="004C375C" w:rsidRDefault="004C375C" w:rsidP="004C375C">
            <w:pPr>
              <w:spacing w:after="0" w:line="240" w:lineRule="auto"/>
              <w:rPr>
                <w:rFonts w:ascii="AytoRoquetas Light Condensed" w:eastAsia="Times New Roman" w:hAnsi="AytoRoquetas Light Condensed" w:cs="Arial"/>
                <w:sz w:val="20"/>
                <w:szCs w:val="20"/>
              </w:rPr>
            </w:pPr>
            <w:r w:rsidRPr="004C375C">
              <w:rPr>
                <w:rFonts w:ascii="AytoRoquetas Light Condensed" w:eastAsia="Times New Roman" w:hAnsi="AytoRoquetas Light Condensed" w:cs="Arial"/>
                <w:sz w:val="20"/>
                <w:szCs w:val="20"/>
              </w:rPr>
              <w:t>CAPITULO III "GASTOS FINANCIEROS"</w:t>
            </w:r>
          </w:p>
        </w:tc>
        <w:tc>
          <w:tcPr>
            <w:tcW w:w="2147" w:type="dxa"/>
            <w:tcBorders>
              <w:top w:val="nil"/>
              <w:left w:val="nil"/>
              <w:bottom w:val="single" w:sz="4" w:space="0" w:color="auto"/>
              <w:right w:val="single" w:sz="4" w:space="0" w:color="auto"/>
            </w:tcBorders>
            <w:shd w:val="clear" w:color="000000" w:fill="FFFFFF"/>
            <w:noWrap/>
            <w:vAlign w:val="center"/>
            <w:hideMark/>
          </w:tcPr>
          <w:p w14:paraId="0D7ABDE5" w14:textId="77777777" w:rsidR="004C375C" w:rsidRPr="004C375C" w:rsidRDefault="004C375C" w:rsidP="004C375C">
            <w:pPr>
              <w:spacing w:after="0" w:line="240" w:lineRule="auto"/>
              <w:jc w:val="right"/>
              <w:rPr>
                <w:rFonts w:ascii="AytoRoquetas Light Condensed" w:eastAsia="Times New Roman" w:hAnsi="AytoRoquetas Light Condensed" w:cs="Arial"/>
                <w:sz w:val="20"/>
                <w:szCs w:val="20"/>
              </w:rPr>
            </w:pPr>
            <w:r w:rsidRPr="004C375C">
              <w:rPr>
                <w:rFonts w:ascii="AytoRoquetas Light Condensed" w:eastAsia="Times New Roman" w:hAnsi="AytoRoquetas Light Condensed" w:cs="Arial"/>
                <w:sz w:val="20"/>
                <w:szCs w:val="20"/>
              </w:rPr>
              <w:t>0,00</w:t>
            </w:r>
          </w:p>
        </w:tc>
      </w:tr>
      <w:tr w:rsidR="004C375C" w:rsidRPr="004C375C" w14:paraId="4A2AF3F5" w14:textId="77777777" w:rsidTr="00A7149B">
        <w:trPr>
          <w:trHeight w:val="211"/>
          <w:jc w:val="center"/>
        </w:trPr>
        <w:tc>
          <w:tcPr>
            <w:tcW w:w="4511" w:type="dxa"/>
            <w:tcBorders>
              <w:top w:val="nil"/>
              <w:left w:val="single" w:sz="4" w:space="0" w:color="auto"/>
              <w:bottom w:val="single" w:sz="4" w:space="0" w:color="auto"/>
              <w:right w:val="single" w:sz="4" w:space="0" w:color="auto"/>
            </w:tcBorders>
            <w:shd w:val="clear" w:color="000000" w:fill="FFFFFF"/>
            <w:noWrap/>
            <w:vAlign w:val="center"/>
            <w:hideMark/>
          </w:tcPr>
          <w:p w14:paraId="2F0D2484" w14:textId="77777777" w:rsidR="004C375C" w:rsidRPr="004C375C" w:rsidRDefault="004C375C" w:rsidP="004C375C">
            <w:pPr>
              <w:spacing w:after="0" w:line="240" w:lineRule="auto"/>
              <w:rPr>
                <w:rFonts w:ascii="AytoRoquetas Light Condensed" w:eastAsia="Times New Roman" w:hAnsi="AytoRoquetas Light Condensed" w:cs="Arial"/>
                <w:sz w:val="20"/>
                <w:szCs w:val="20"/>
              </w:rPr>
            </w:pPr>
            <w:r w:rsidRPr="004C375C">
              <w:rPr>
                <w:rFonts w:ascii="AytoRoquetas Light Condensed" w:eastAsia="Times New Roman" w:hAnsi="AytoRoquetas Light Condensed" w:cs="Arial"/>
                <w:sz w:val="20"/>
                <w:szCs w:val="20"/>
              </w:rPr>
              <w:t>CAPITULO IV "TRANSFERENCIAS CORRIENTES"</w:t>
            </w:r>
          </w:p>
        </w:tc>
        <w:tc>
          <w:tcPr>
            <w:tcW w:w="2147" w:type="dxa"/>
            <w:tcBorders>
              <w:top w:val="nil"/>
              <w:left w:val="nil"/>
              <w:bottom w:val="single" w:sz="4" w:space="0" w:color="auto"/>
              <w:right w:val="single" w:sz="4" w:space="0" w:color="auto"/>
            </w:tcBorders>
            <w:shd w:val="clear" w:color="000000" w:fill="FFFFFF"/>
            <w:noWrap/>
            <w:vAlign w:val="center"/>
            <w:hideMark/>
          </w:tcPr>
          <w:p w14:paraId="263E96C6" w14:textId="77671151" w:rsidR="004C375C" w:rsidRPr="004C375C" w:rsidRDefault="003B6393" w:rsidP="004C375C">
            <w:pPr>
              <w:spacing w:after="0" w:line="240" w:lineRule="auto"/>
              <w:jc w:val="right"/>
              <w:rPr>
                <w:rFonts w:ascii="AytoRoquetas Light Condensed" w:eastAsia="Times New Roman" w:hAnsi="AytoRoquetas Light Condensed" w:cs="Arial"/>
                <w:sz w:val="20"/>
                <w:szCs w:val="20"/>
              </w:rPr>
            </w:pPr>
            <w:r>
              <w:rPr>
                <w:rFonts w:ascii="AytoRoquetas Light Condensed" w:eastAsia="Times New Roman" w:hAnsi="AytoRoquetas Light Condensed" w:cs="Arial"/>
                <w:sz w:val="20"/>
                <w:szCs w:val="20"/>
              </w:rPr>
              <w:t>36.417,14</w:t>
            </w:r>
          </w:p>
        </w:tc>
      </w:tr>
      <w:tr w:rsidR="004C375C" w:rsidRPr="004C375C" w14:paraId="036F1BD1" w14:textId="77777777" w:rsidTr="00A7149B">
        <w:trPr>
          <w:trHeight w:val="211"/>
          <w:jc w:val="center"/>
        </w:trPr>
        <w:tc>
          <w:tcPr>
            <w:tcW w:w="4511" w:type="dxa"/>
            <w:tcBorders>
              <w:top w:val="nil"/>
              <w:left w:val="single" w:sz="4" w:space="0" w:color="auto"/>
              <w:bottom w:val="single" w:sz="4" w:space="0" w:color="auto"/>
              <w:right w:val="single" w:sz="4" w:space="0" w:color="auto"/>
            </w:tcBorders>
            <w:shd w:val="clear" w:color="000000" w:fill="FFFFFF"/>
            <w:noWrap/>
            <w:vAlign w:val="center"/>
            <w:hideMark/>
          </w:tcPr>
          <w:p w14:paraId="6CDDE986" w14:textId="77777777" w:rsidR="004C375C" w:rsidRPr="004C375C" w:rsidRDefault="004C375C" w:rsidP="004C375C">
            <w:pPr>
              <w:spacing w:after="0" w:line="240" w:lineRule="auto"/>
              <w:rPr>
                <w:rFonts w:ascii="AytoRoquetas Light Condensed" w:eastAsia="Times New Roman" w:hAnsi="AytoRoquetas Light Condensed" w:cs="Arial"/>
                <w:sz w:val="20"/>
                <w:szCs w:val="20"/>
              </w:rPr>
            </w:pPr>
            <w:r w:rsidRPr="004C375C">
              <w:rPr>
                <w:rFonts w:ascii="AytoRoquetas Light Condensed" w:eastAsia="Times New Roman" w:hAnsi="AytoRoquetas Light Condensed" w:cs="Arial"/>
                <w:sz w:val="20"/>
                <w:szCs w:val="20"/>
              </w:rPr>
              <w:t>CAPITULO V "FONDO DE CONTINGENCIA Y OTROS IMPREVISTOS"</w:t>
            </w:r>
          </w:p>
        </w:tc>
        <w:tc>
          <w:tcPr>
            <w:tcW w:w="2147" w:type="dxa"/>
            <w:tcBorders>
              <w:top w:val="nil"/>
              <w:left w:val="nil"/>
              <w:bottom w:val="single" w:sz="4" w:space="0" w:color="auto"/>
              <w:right w:val="single" w:sz="4" w:space="0" w:color="auto"/>
            </w:tcBorders>
            <w:shd w:val="clear" w:color="000000" w:fill="FFFFFF"/>
            <w:noWrap/>
            <w:vAlign w:val="center"/>
            <w:hideMark/>
          </w:tcPr>
          <w:p w14:paraId="1854AC9F" w14:textId="77777777" w:rsidR="004C375C" w:rsidRPr="004C375C" w:rsidRDefault="004C375C" w:rsidP="004C375C">
            <w:pPr>
              <w:spacing w:after="0" w:line="240" w:lineRule="auto"/>
              <w:jc w:val="right"/>
              <w:rPr>
                <w:rFonts w:ascii="AytoRoquetas Light Condensed" w:eastAsia="Times New Roman" w:hAnsi="AytoRoquetas Light Condensed" w:cs="Arial"/>
                <w:sz w:val="20"/>
                <w:szCs w:val="20"/>
              </w:rPr>
            </w:pPr>
            <w:r w:rsidRPr="004C375C">
              <w:rPr>
                <w:rFonts w:ascii="AytoRoquetas Light Condensed" w:eastAsia="Times New Roman" w:hAnsi="AytoRoquetas Light Condensed" w:cs="Arial"/>
                <w:sz w:val="20"/>
                <w:szCs w:val="20"/>
              </w:rPr>
              <w:t>0,00</w:t>
            </w:r>
          </w:p>
        </w:tc>
      </w:tr>
      <w:tr w:rsidR="004C375C" w:rsidRPr="004C375C" w14:paraId="62EDB64C" w14:textId="77777777" w:rsidTr="00A7149B">
        <w:trPr>
          <w:trHeight w:val="211"/>
          <w:jc w:val="center"/>
        </w:trPr>
        <w:tc>
          <w:tcPr>
            <w:tcW w:w="4511" w:type="dxa"/>
            <w:tcBorders>
              <w:top w:val="nil"/>
              <w:left w:val="single" w:sz="4" w:space="0" w:color="auto"/>
              <w:bottom w:val="single" w:sz="4" w:space="0" w:color="auto"/>
              <w:right w:val="single" w:sz="4" w:space="0" w:color="auto"/>
            </w:tcBorders>
            <w:shd w:val="clear" w:color="000000" w:fill="FFFFFF"/>
            <w:noWrap/>
            <w:vAlign w:val="center"/>
            <w:hideMark/>
          </w:tcPr>
          <w:p w14:paraId="588AE269" w14:textId="77777777" w:rsidR="004C375C" w:rsidRPr="004C375C" w:rsidRDefault="004C375C" w:rsidP="004C375C">
            <w:pPr>
              <w:spacing w:after="0" w:line="240" w:lineRule="auto"/>
              <w:rPr>
                <w:rFonts w:ascii="AytoRoquetas Light Condensed" w:eastAsia="Times New Roman" w:hAnsi="AytoRoquetas Light Condensed" w:cs="Arial"/>
                <w:sz w:val="20"/>
                <w:szCs w:val="20"/>
              </w:rPr>
            </w:pPr>
            <w:r w:rsidRPr="004C375C">
              <w:rPr>
                <w:rFonts w:ascii="AytoRoquetas Light Condensed" w:eastAsia="Times New Roman" w:hAnsi="AytoRoquetas Light Condensed" w:cs="Arial"/>
                <w:sz w:val="20"/>
                <w:szCs w:val="20"/>
              </w:rPr>
              <w:t>CAPITULO VI "INVERSIONES REALES"</w:t>
            </w:r>
          </w:p>
        </w:tc>
        <w:tc>
          <w:tcPr>
            <w:tcW w:w="2147" w:type="dxa"/>
            <w:tcBorders>
              <w:top w:val="nil"/>
              <w:left w:val="nil"/>
              <w:bottom w:val="single" w:sz="4" w:space="0" w:color="auto"/>
              <w:right w:val="single" w:sz="4" w:space="0" w:color="auto"/>
            </w:tcBorders>
            <w:shd w:val="clear" w:color="000000" w:fill="FFFFFF"/>
            <w:noWrap/>
            <w:vAlign w:val="center"/>
            <w:hideMark/>
          </w:tcPr>
          <w:p w14:paraId="631CCCE7" w14:textId="234AA575" w:rsidR="004C375C" w:rsidRPr="004C375C" w:rsidRDefault="003B6393" w:rsidP="004C375C">
            <w:pPr>
              <w:spacing w:after="0" w:line="240" w:lineRule="auto"/>
              <w:jc w:val="right"/>
              <w:rPr>
                <w:rFonts w:ascii="AytoRoquetas Light Condensed" w:eastAsia="Times New Roman" w:hAnsi="AytoRoquetas Light Condensed" w:cs="Arial"/>
                <w:sz w:val="20"/>
                <w:szCs w:val="20"/>
              </w:rPr>
            </w:pPr>
            <w:r>
              <w:rPr>
                <w:rFonts w:ascii="AytoRoquetas Light Condensed" w:eastAsia="Times New Roman" w:hAnsi="AytoRoquetas Light Condensed" w:cs="Arial"/>
                <w:sz w:val="20"/>
                <w:szCs w:val="20"/>
              </w:rPr>
              <w:t>0,00</w:t>
            </w:r>
          </w:p>
        </w:tc>
      </w:tr>
      <w:tr w:rsidR="004C375C" w:rsidRPr="004C375C" w14:paraId="31931BDE" w14:textId="77777777" w:rsidTr="00A7149B">
        <w:trPr>
          <w:trHeight w:val="211"/>
          <w:jc w:val="center"/>
        </w:trPr>
        <w:tc>
          <w:tcPr>
            <w:tcW w:w="4511" w:type="dxa"/>
            <w:tcBorders>
              <w:top w:val="nil"/>
              <w:left w:val="single" w:sz="4" w:space="0" w:color="auto"/>
              <w:bottom w:val="single" w:sz="4" w:space="0" w:color="auto"/>
              <w:right w:val="single" w:sz="4" w:space="0" w:color="auto"/>
            </w:tcBorders>
            <w:shd w:val="clear" w:color="000000" w:fill="FFFFFF"/>
            <w:noWrap/>
            <w:vAlign w:val="center"/>
            <w:hideMark/>
          </w:tcPr>
          <w:p w14:paraId="54776F87" w14:textId="77777777" w:rsidR="004C375C" w:rsidRPr="004C375C" w:rsidRDefault="004C375C" w:rsidP="004C375C">
            <w:pPr>
              <w:spacing w:after="0" w:line="240" w:lineRule="auto"/>
              <w:rPr>
                <w:rFonts w:ascii="AytoRoquetas Light Condensed" w:eastAsia="Times New Roman" w:hAnsi="AytoRoquetas Light Condensed" w:cs="Arial"/>
                <w:sz w:val="20"/>
                <w:szCs w:val="20"/>
              </w:rPr>
            </w:pPr>
            <w:r w:rsidRPr="004C375C">
              <w:rPr>
                <w:rFonts w:ascii="AytoRoquetas Light Condensed" w:eastAsia="Times New Roman" w:hAnsi="AytoRoquetas Light Condensed" w:cs="Arial"/>
                <w:sz w:val="20"/>
                <w:szCs w:val="20"/>
              </w:rPr>
              <w:t>CAPITULO VII "TRANSFERENCIAS DE CAPITAL"</w:t>
            </w:r>
          </w:p>
        </w:tc>
        <w:tc>
          <w:tcPr>
            <w:tcW w:w="2147" w:type="dxa"/>
            <w:tcBorders>
              <w:top w:val="nil"/>
              <w:left w:val="nil"/>
              <w:bottom w:val="single" w:sz="4" w:space="0" w:color="auto"/>
              <w:right w:val="single" w:sz="4" w:space="0" w:color="auto"/>
            </w:tcBorders>
            <w:shd w:val="clear" w:color="000000" w:fill="FFFFFF"/>
            <w:noWrap/>
            <w:vAlign w:val="center"/>
            <w:hideMark/>
          </w:tcPr>
          <w:p w14:paraId="04FE79CB" w14:textId="77777777" w:rsidR="004C375C" w:rsidRPr="004C375C" w:rsidRDefault="004C375C" w:rsidP="004C375C">
            <w:pPr>
              <w:spacing w:after="0" w:line="240" w:lineRule="auto"/>
              <w:jc w:val="right"/>
              <w:rPr>
                <w:rFonts w:ascii="AytoRoquetas Light Condensed" w:eastAsia="Times New Roman" w:hAnsi="AytoRoquetas Light Condensed" w:cs="Arial"/>
                <w:sz w:val="20"/>
                <w:szCs w:val="20"/>
              </w:rPr>
            </w:pPr>
            <w:r w:rsidRPr="004C375C">
              <w:rPr>
                <w:rFonts w:ascii="AytoRoquetas Light Condensed" w:eastAsia="Times New Roman" w:hAnsi="AytoRoquetas Light Condensed" w:cs="Arial"/>
                <w:sz w:val="20"/>
                <w:szCs w:val="20"/>
              </w:rPr>
              <w:t>0,00</w:t>
            </w:r>
          </w:p>
        </w:tc>
      </w:tr>
      <w:tr w:rsidR="004C375C" w:rsidRPr="004C375C" w14:paraId="5D3C1D78" w14:textId="77777777" w:rsidTr="003B6393">
        <w:trPr>
          <w:trHeight w:val="211"/>
          <w:jc w:val="center"/>
        </w:trPr>
        <w:tc>
          <w:tcPr>
            <w:tcW w:w="4511" w:type="dxa"/>
            <w:tcBorders>
              <w:top w:val="nil"/>
              <w:left w:val="single" w:sz="4" w:space="0" w:color="auto"/>
              <w:bottom w:val="single" w:sz="4" w:space="0" w:color="auto"/>
              <w:right w:val="single" w:sz="4" w:space="0" w:color="auto"/>
            </w:tcBorders>
            <w:shd w:val="clear" w:color="000000" w:fill="FFFFFF"/>
            <w:noWrap/>
            <w:vAlign w:val="center"/>
            <w:hideMark/>
          </w:tcPr>
          <w:p w14:paraId="73A0D32F" w14:textId="77777777" w:rsidR="004C375C" w:rsidRPr="004C375C" w:rsidRDefault="004C375C" w:rsidP="004C375C">
            <w:pPr>
              <w:spacing w:after="0" w:line="240" w:lineRule="auto"/>
              <w:rPr>
                <w:rFonts w:ascii="AytoRoquetas Light Condensed" w:eastAsia="Times New Roman" w:hAnsi="AytoRoquetas Light Condensed" w:cs="Arial"/>
                <w:b/>
                <w:bCs/>
                <w:i/>
                <w:iCs/>
                <w:sz w:val="20"/>
                <w:szCs w:val="20"/>
              </w:rPr>
            </w:pPr>
            <w:r w:rsidRPr="004C375C">
              <w:rPr>
                <w:rFonts w:ascii="AytoRoquetas Light Condensed" w:eastAsia="Times New Roman" w:hAnsi="AytoRoquetas Light Condensed" w:cs="Arial"/>
                <w:b/>
                <w:bCs/>
                <w:i/>
                <w:iCs/>
                <w:sz w:val="20"/>
                <w:szCs w:val="20"/>
              </w:rPr>
              <w:t>2) TOTAL GASTOS NO FINANCIEROS SIN AJUSTES SEC</w:t>
            </w:r>
          </w:p>
        </w:tc>
        <w:tc>
          <w:tcPr>
            <w:tcW w:w="2147" w:type="dxa"/>
            <w:tcBorders>
              <w:top w:val="nil"/>
              <w:left w:val="nil"/>
              <w:bottom w:val="single" w:sz="4" w:space="0" w:color="auto"/>
              <w:right w:val="single" w:sz="4" w:space="0" w:color="auto"/>
            </w:tcBorders>
            <w:shd w:val="clear" w:color="000000" w:fill="FFFFFF"/>
            <w:noWrap/>
            <w:vAlign w:val="center"/>
          </w:tcPr>
          <w:p w14:paraId="7BD2B379" w14:textId="614AB7A9" w:rsidR="004C375C" w:rsidRPr="004C375C" w:rsidRDefault="003B6393" w:rsidP="004C375C">
            <w:pPr>
              <w:spacing w:after="0" w:line="240" w:lineRule="auto"/>
              <w:jc w:val="right"/>
              <w:rPr>
                <w:rFonts w:ascii="AytoRoquetas Light Condensed" w:eastAsia="Times New Roman" w:hAnsi="AytoRoquetas Light Condensed" w:cs="Arial"/>
                <w:b/>
                <w:bCs/>
                <w:i/>
                <w:iCs/>
                <w:sz w:val="20"/>
                <w:szCs w:val="20"/>
              </w:rPr>
            </w:pPr>
            <w:r>
              <w:rPr>
                <w:rFonts w:ascii="AytoRoquetas Light Condensed" w:eastAsia="Times New Roman" w:hAnsi="AytoRoquetas Light Condensed" w:cs="Arial"/>
                <w:b/>
                <w:bCs/>
                <w:i/>
                <w:iCs/>
                <w:sz w:val="20"/>
                <w:szCs w:val="20"/>
              </w:rPr>
              <w:t>187.064,13</w:t>
            </w:r>
          </w:p>
        </w:tc>
      </w:tr>
      <w:tr w:rsidR="004C375C" w:rsidRPr="004C375C" w14:paraId="6D129BA8" w14:textId="77777777" w:rsidTr="00A7149B">
        <w:trPr>
          <w:trHeight w:val="211"/>
          <w:jc w:val="center"/>
        </w:trPr>
        <w:tc>
          <w:tcPr>
            <w:tcW w:w="4511" w:type="dxa"/>
            <w:tcBorders>
              <w:top w:val="nil"/>
              <w:left w:val="single" w:sz="4" w:space="0" w:color="auto"/>
              <w:bottom w:val="single" w:sz="4" w:space="0" w:color="auto"/>
              <w:right w:val="single" w:sz="4" w:space="0" w:color="auto"/>
            </w:tcBorders>
            <w:shd w:val="clear" w:color="000000" w:fill="E7E6E6"/>
            <w:noWrap/>
            <w:vAlign w:val="center"/>
            <w:hideMark/>
          </w:tcPr>
          <w:p w14:paraId="66436FD0" w14:textId="77777777" w:rsidR="004C375C" w:rsidRPr="004C375C" w:rsidRDefault="004C375C" w:rsidP="004C375C">
            <w:pPr>
              <w:spacing w:after="0" w:line="240" w:lineRule="auto"/>
              <w:rPr>
                <w:rFonts w:ascii="AytoRoquetas Light Condensed" w:eastAsia="Times New Roman" w:hAnsi="AytoRoquetas Light Condensed" w:cs="Arial"/>
                <w:b/>
                <w:bCs/>
                <w:i/>
                <w:iCs/>
                <w:sz w:val="20"/>
                <w:szCs w:val="20"/>
              </w:rPr>
            </w:pPr>
            <w:r w:rsidRPr="004C375C">
              <w:rPr>
                <w:rFonts w:ascii="AytoRoquetas Light Condensed" w:eastAsia="Times New Roman" w:hAnsi="AytoRoquetas Light Condensed" w:cs="Arial"/>
                <w:b/>
                <w:bCs/>
                <w:i/>
                <w:iCs/>
                <w:sz w:val="20"/>
                <w:szCs w:val="20"/>
              </w:rPr>
              <w:lastRenderedPageBreak/>
              <w:t>3) SALDO DE OPERACIONES NO FINANCIERAS SIN AJUSTES SEC</w:t>
            </w:r>
          </w:p>
        </w:tc>
        <w:tc>
          <w:tcPr>
            <w:tcW w:w="2147" w:type="dxa"/>
            <w:tcBorders>
              <w:top w:val="nil"/>
              <w:left w:val="nil"/>
              <w:bottom w:val="single" w:sz="4" w:space="0" w:color="auto"/>
              <w:right w:val="single" w:sz="4" w:space="0" w:color="auto"/>
            </w:tcBorders>
            <w:shd w:val="clear" w:color="000000" w:fill="E7E6E6"/>
            <w:noWrap/>
            <w:vAlign w:val="center"/>
            <w:hideMark/>
          </w:tcPr>
          <w:p w14:paraId="44257BFE" w14:textId="378368A3" w:rsidR="004C375C" w:rsidRPr="004C375C" w:rsidRDefault="002B25E2" w:rsidP="004C375C">
            <w:pPr>
              <w:spacing w:after="0" w:line="240" w:lineRule="auto"/>
              <w:jc w:val="right"/>
              <w:rPr>
                <w:rFonts w:ascii="AytoRoquetas Light Condensed" w:eastAsia="Times New Roman" w:hAnsi="AytoRoquetas Light Condensed" w:cs="Arial"/>
                <w:b/>
                <w:bCs/>
                <w:i/>
                <w:iCs/>
                <w:sz w:val="20"/>
                <w:szCs w:val="20"/>
              </w:rPr>
            </w:pPr>
            <w:r>
              <w:rPr>
                <w:rFonts w:ascii="AytoRoquetas Light Condensed" w:eastAsia="Times New Roman" w:hAnsi="AytoRoquetas Light Condensed" w:cs="Arial"/>
                <w:b/>
                <w:bCs/>
                <w:i/>
                <w:iCs/>
                <w:sz w:val="20"/>
                <w:szCs w:val="20"/>
              </w:rPr>
              <w:t>381.689,18</w:t>
            </w:r>
          </w:p>
        </w:tc>
      </w:tr>
      <w:tr w:rsidR="004C375C" w:rsidRPr="004C375C" w14:paraId="7E328822" w14:textId="77777777" w:rsidTr="00A7149B">
        <w:trPr>
          <w:trHeight w:val="222"/>
          <w:jc w:val="center"/>
        </w:trPr>
        <w:tc>
          <w:tcPr>
            <w:tcW w:w="4511" w:type="dxa"/>
            <w:tcBorders>
              <w:top w:val="nil"/>
              <w:left w:val="single" w:sz="4" w:space="0" w:color="auto"/>
              <w:bottom w:val="single" w:sz="4" w:space="0" w:color="auto"/>
              <w:right w:val="single" w:sz="4" w:space="0" w:color="auto"/>
            </w:tcBorders>
            <w:shd w:val="clear" w:color="000000" w:fill="FFFFFF"/>
            <w:noWrap/>
            <w:vAlign w:val="center"/>
            <w:hideMark/>
          </w:tcPr>
          <w:p w14:paraId="7DEA7ACE" w14:textId="77777777" w:rsidR="004C375C" w:rsidRPr="004C375C" w:rsidRDefault="004C375C" w:rsidP="004C375C">
            <w:pPr>
              <w:spacing w:after="0" w:line="240" w:lineRule="auto"/>
              <w:rPr>
                <w:rFonts w:ascii="AytoRoquetas Light Condensed" w:eastAsia="Times New Roman" w:hAnsi="AytoRoquetas Light Condensed" w:cs="Arial"/>
                <w:b/>
                <w:bCs/>
                <w:i/>
                <w:iCs/>
                <w:sz w:val="20"/>
                <w:szCs w:val="20"/>
              </w:rPr>
            </w:pPr>
            <w:r w:rsidRPr="004C375C">
              <w:rPr>
                <w:rFonts w:ascii="AytoRoquetas Light Condensed" w:eastAsia="Times New Roman" w:hAnsi="AytoRoquetas Light Condensed" w:cs="Arial"/>
                <w:b/>
                <w:bCs/>
                <w:i/>
                <w:iCs/>
                <w:sz w:val="20"/>
                <w:szCs w:val="20"/>
              </w:rPr>
              <w:t xml:space="preserve">4) AJUSTES PRESUPUESTARIOS SEC </w:t>
            </w:r>
          </w:p>
        </w:tc>
        <w:tc>
          <w:tcPr>
            <w:tcW w:w="2147" w:type="dxa"/>
            <w:tcBorders>
              <w:top w:val="nil"/>
              <w:left w:val="nil"/>
              <w:bottom w:val="single" w:sz="4" w:space="0" w:color="auto"/>
              <w:right w:val="single" w:sz="4" w:space="0" w:color="auto"/>
            </w:tcBorders>
            <w:shd w:val="clear" w:color="000000" w:fill="FFFFFF"/>
            <w:noWrap/>
            <w:vAlign w:val="center"/>
            <w:hideMark/>
          </w:tcPr>
          <w:p w14:paraId="27763DEE" w14:textId="77777777" w:rsidR="004C375C" w:rsidRPr="004C375C" w:rsidRDefault="004C375C" w:rsidP="004C375C">
            <w:pPr>
              <w:spacing w:after="0" w:line="240" w:lineRule="auto"/>
              <w:jc w:val="right"/>
              <w:rPr>
                <w:rFonts w:ascii="AytoRoquetas Light Condensed" w:eastAsia="Times New Roman" w:hAnsi="AytoRoquetas Light Condensed" w:cs="Arial"/>
                <w:b/>
                <w:bCs/>
                <w:i/>
                <w:iCs/>
                <w:sz w:val="20"/>
                <w:szCs w:val="20"/>
              </w:rPr>
            </w:pPr>
            <w:r w:rsidRPr="004C375C">
              <w:rPr>
                <w:rFonts w:ascii="AytoRoquetas Light Condensed" w:eastAsia="Times New Roman" w:hAnsi="AytoRoquetas Light Condensed" w:cs="Arial"/>
                <w:b/>
                <w:bCs/>
                <w:i/>
                <w:iCs/>
                <w:sz w:val="20"/>
                <w:szCs w:val="20"/>
              </w:rPr>
              <w:t>107.010,29</w:t>
            </w:r>
          </w:p>
        </w:tc>
      </w:tr>
      <w:tr w:rsidR="004C375C" w:rsidRPr="004C375C" w14:paraId="73302158" w14:textId="77777777" w:rsidTr="00A7149B">
        <w:trPr>
          <w:trHeight w:val="222"/>
          <w:jc w:val="center"/>
        </w:trPr>
        <w:tc>
          <w:tcPr>
            <w:tcW w:w="4511" w:type="dxa"/>
            <w:tcBorders>
              <w:top w:val="nil"/>
              <w:left w:val="single" w:sz="4" w:space="0" w:color="auto"/>
              <w:bottom w:val="single" w:sz="4" w:space="0" w:color="auto"/>
              <w:right w:val="single" w:sz="4" w:space="0" w:color="auto"/>
            </w:tcBorders>
            <w:shd w:val="clear" w:color="000000" w:fill="5B9BD5"/>
            <w:noWrap/>
            <w:vAlign w:val="center"/>
            <w:hideMark/>
          </w:tcPr>
          <w:p w14:paraId="739D74CA" w14:textId="56987AC2" w:rsidR="004C375C" w:rsidRPr="004C375C" w:rsidRDefault="004C375C" w:rsidP="004C375C">
            <w:pPr>
              <w:spacing w:after="0" w:line="240" w:lineRule="auto"/>
              <w:rPr>
                <w:rFonts w:ascii="AytoRoquetas Light Condensed" w:eastAsia="Times New Roman" w:hAnsi="AytoRoquetas Light Condensed" w:cs="Arial"/>
                <w:b/>
                <w:bCs/>
                <w:i/>
                <w:iCs/>
                <w:sz w:val="20"/>
                <w:szCs w:val="20"/>
              </w:rPr>
            </w:pPr>
            <w:r w:rsidRPr="004C375C">
              <w:rPr>
                <w:rFonts w:ascii="AytoRoquetas Light Condensed" w:eastAsia="Times New Roman" w:hAnsi="AytoRoquetas Light Condensed" w:cs="Arial"/>
                <w:b/>
                <w:bCs/>
                <w:i/>
                <w:iCs/>
                <w:sz w:val="20"/>
                <w:szCs w:val="20"/>
              </w:rPr>
              <w:t>CAPACIDAD/NECESIDAD DE FINANCIACIÓN</w:t>
            </w:r>
            <w:r w:rsidRPr="00F51B44">
              <w:rPr>
                <w:rFonts w:ascii="AytoRoquetas Light Condensed" w:eastAsia="Times New Roman" w:hAnsi="AytoRoquetas Light Condensed" w:cs="Arial"/>
                <w:b/>
                <w:bCs/>
                <w:i/>
                <w:iCs/>
                <w:sz w:val="20"/>
                <w:szCs w:val="20"/>
              </w:rPr>
              <w:t xml:space="preserve"> </w:t>
            </w:r>
            <w:r w:rsidRPr="004C375C">
              <w:rPr>
                <w:rFonts w:ascii="AytoRoquetas Light Condensed" w:eastAsia="Times New Roman" w:hAnsi="AytoRoquetas Light Condensed" w:cs="Arial"/>
                <w:b/>
                <w:bCs/>
                <w:i/>
                <w:iCs/>
                <w:sz w:val="20"/>
                <w:szCs w:val="20"/>
              </w:rPr>
              <w:t>(</w:t>
            </w:r>
            <w:r w:rsidRPr="00F51B44">
              <w:rPr>
                <w:rFonts w:ascii="AytoRoquetas Light Condensed" w:eastAsia="Times New Roman" w:hAnsi="AytoRoquetas Light Condensed" w:cs="Arial"/>
                <w:b/>
                <w:bCs/>
                <w:i/>
                <w:iCs/>
                <w:sz w:val="20"/>
                <w:szCs w:val="20"/>
              </w:rPr>
              <w:t>3</w:t>
            </w:r>
            <w:r w:rsidRPr="004C375C">
              <w:rPr>
                <w:rFonts w:ascii="AytoRoquetas Light Condensed" w:eastAsia="Times New Roman" w:hAnsi="AytoRoquetas Light Condensed" w:cs="Arial"/>
                <w:b/>
                <w:bCs/>
                <w:i/>
                <w:iCs/>
                <w:sz w:val="20"/>
                <w:szCs w:val="20"/>
              </w:rPr>
              <w:t>+</w:t>
            </w:r>
            <w:r w:rsidRPr="00F51B44">
              <w:rPr>
                <w:rFonts w:ascii="AytoRoquetas Light Condensed" w:eastAsia="Times New Roman" w:hAnsi="AytoRoquetas Light Condensed" w:cs="Arial"/>
                <w:b/>
                <w:bCs/>
                <w:i/>
                <w:iCs/>
                <w:sz w:val="20"/>
                <w:szCs w:val="20"/>
              </w:rPr>
              <w:t>4</w:t>
            </w:r>
            <w:r w:rsidRPr="004C375C">
              <w:rPr>
                <w:rFonts w:ascii="AytoRoquetas Light Condensed" w:eastAsia="Times New Roman" w:hAnsi="AytoRoquetas Light Condensed" w:cs="Arial"/>
                <w:b/>
                <w:bCs/>
                <w:i/>
                <w:iCs/>
                <w:sz w:val="20"/>
                <w:szCs w:val="20"/>
              </w:rPr>
              <w:t>)</w:t>
            </w:r>
          </w:p>
        </w:tc>
        <w:tc>
          <w:tcPr>
            <w:tcW w:w="2147" w:type="dxa"/>
            <w:tcBorders>
              <w:top w:val="nil"/>
              <w:left w:val="nil"/>
              <w:bottom w:val="single" w:sz="4" w:space="0" w:color="auto"/>
              <w:right w:val="single" w:sz="4" w:space="0" w:color="auto"/>
            </w:tcBorders>
            <w:shd w:val="clear" w:color="000000" w:fill="5B9BD5"/>
            <w:noWrap/>
            <w:vAlign w:val="center"/>
            <w:hideMark/>
          </w:tcPr>
          <w:p w14:paraId="7A964DB5" w14:textId="77777777" w:rsidR="004C375C" w:rsidRPr="004C375C" w:rsidRDefault="004C375C" w:rsidP="004C375C">
            <w:pPr>
              <w:spacing w:after="0" w:line="240" w:lineRule="auto"/>
              <w:jc w:val="right"/>
              <w:rPr>
                <w:rFonts w:ascii="AytoRoquetas Light Condensed" w:eastAsia="Times New Roman" w:hAnsi="AytoRoquetas Light Condensed" w:cs="Arial"/>
                <w:b/>
                <w:bCs/>
                <w:i/>
                <w:iCs/>
                <w:sz w:val="20"/>
                <w:szCs w:val="20"/>
              </w:rPr>
            </w:pPr>
            <w:r w:rsidRPr="004C375C">
              <w:rPr>
                <w:rFonts w:ascii="AytoRoquetas Light Condensed" w:eastAsia="Times New Roman" w:hAnsi="AytoRoquetas Light Condensed" w:cs="Arial"/>
                <w:b/>
                <w:bCs/>
                <w:i/>
                <w:iCs/>
                <w:sz w:val="20"/>
                <w:szCs w:val="20"/>
              </w:rPr>
              <w:t>174.556,55</w:t>
            </w:r>
          </w:p>
        </w:tc>
      </w:tr>
    </w:tbl>
    <w:p w14:paraId="1A7547B3" w14:textId="77777777" w:rsidR="0061024C" w:rsidRPr="00F51B44" w:rsidRDefault="0061024C" w:rsidP="0061024C">
      <w:pPr>
        <w:spacing w:before="120" w:after="120" w:line="240" w:lineRule="auto"/>
        <w:jc w:val="both"/>
        <w:rPr>
          <w:rFonts w:ascii="AytoRoquetas Light Condensed" w:eastAsia="Times New Roman" w:hAnsi="AytoRoquetas Light Condensed" w:cs="Times New Roman"/>
          <w:sz w:val="20"/>
          <w:szCs w:val="20"/>
        </w:rPr>
      </w:pPr>
    </w:p>
    <w:p w14:paraId="204C4C1C" w14:textId="77777777" w:rsidR="0061024C" w:rsidRPr="00F51B44" w:rsidRDefault="0061024C" w:rsidP="0061024C">
      <w:pPr>
        <w:spacing w:before="120" w:after="120" w:line="240" w:lineRule="auto"/>
        <w:jc w:val="center"/>
        <w:rPr>
          <w:rFonts w:ascii="AytoRoquetas Light Condensed" w:eastAsia="Times New Roman" w:hAnsi="AytoRoquetas Light Condensed" w:cs="Times New Roman"/>
          <w:b/>
          <w:sz w:val="20"/>
          <w:szCs w:val="20"/>
          <w:u w:val="single"/>
        </w:rPr>
      </w:pPr>
      <w:r w:rsidRPr="00F51B44">
        <w:rPr>
          <w:rFonts w:ascii="AytoRoquetas Light Condensed" w:eastAsia="Times New Roman" w:hAnsi="AytoRoquetas Light Condensed" w:cs="Times New Roman"/>
          <w:b/>
          <w:sz w:val="20"/>
          <w:szCs w:val="20"/>
          <w:u w:val="single"/>
        </w:rPr>
        <w:t>AJUSTES</w:t>
      </w:r>
    </w:p>
    <w:p w14:paraId="0CBC519A" w14:textId="77777777" w:rsidR="00001F23" w:rsidRPr="00F51B44" w:rsidRDefault="00001F23" w:rsidP="00001F23">
      <w:pPr>
        <w:jc w:val="both"/>
        <w:rPr>
          <w:rFonts w:ascii="AytoRoquetas Light Condensed" w:eastAsia="Times New Roman" w:hAnsi="AytoRoquetas Light Condensed" w:cs="Times New Roman"/>
          <w:sz w:val="20"/>
          <w:szCs w:val="20"/>
        </w:rPr>
      </w:pPr>
      <w:r w:rsidRPr="00F51B44">
        <w:rPr>
          <w:rFonts w:ascii="AytoRoquetas Light Condensed" w:eastAsia="Times New Roman" w:hAnsi="AytoRoquetas Light Condensed" w:cs="Times New Roman"/>
          <w:sz w:val="20"/>
          <w:szCs w:val="20"/>
        </w:rPr>
        <w:t>Siguiendo lo dispuesto en el «Manual de cálculo del déficit en contabilidad nacional adaptado a las corporaciones locales» y en la «Nota sobre los cambios metodológicos de aplicación del nuevo SEC 2010 que afectan a las Cuentas de las Administraciones Públicas» editado por la Intervención General de la Administración del Estado (IGAE), procede realizar los ajustes siguientes:</w:t>
      </w:r>
    </w:p>
    <w:p w14:paraId="5A5E0008" w14:textId="77777777" w:rsidR="0061024C" w:rsidRPr="00F51B44" w:rsidRDefault="0061024C" w:rsidP="0061024C">
      <w:pPr>
        <w:spacing w:before="120" w:after="120" w:line="240" w:lineRule="auto"/>
        <w:jc w:val="both"/>
        <w:rPr>
          <w:rFonts w:ascii="AytoRoquetas Light Condensed" w:eastAsia="Times New Roman" w:hAnsi="AytoRoquetas Light Condensed" w:cs="Times New Roman"/>
          <w:b/>
          <w:bCs/>
          <w:sz w:val="20"/>
          <w:szCs w:val="20"/>
        </w:rPr>
      </w:pPr>
      <w:r w:rsidRPr="00F51B44">
        <w:rPr>
          <w:rFonts w:ascii="AytoRoquetas Light Condensed" w:eastAsia="Times New Roman" w:hAnsi="AytoRoquetas Light Condensed" w:cs="Times New Roman"/>
          <w:b/>
          <w:bCs/>
          <w:sz w:val="20"/>
          <w:szCs w:val="20"/>
        </w:rPr>
        <w:t>Estado de Ingresos:</w:t>
      </w:r>
    </w:p>
    <w:p w14:paraId="63340C85" w14:textId="7F1B1E9F" w:rsidR="0061024C" w:rsidRPr="00F51B44" w:rsidRDefault="0061024C" w:rsidP="0061024C">
      <w:pPr>
        <w:spacing w:before="120" w:after="120" w:line="240" w:lineRule="auto"/>
        <w:jc w:val="both"/>
        <w:rPr>
          <w:rFonts w:ascii="AytoRoquetas Light Condensed" w:eastAsia="Times New Roman" w:hAnsi="AytoRoquetas Light Condensed" w:cs="Times New Roman"/>
          <w:sz w:val="20"/>
          <w:szCs w:val="20"/>
        </w:rPr>
      </w:pPr>
      <w:r w:rsidRPr="00F51B44">
        <w:rPr>
          <w:rFonts w:ascii="AytoRoquetas Light Condensed" w:eastAsia="Times New Roman" w:hAnsi="AytoRoquetas Light Condensed" w:cs="Times New Roman"/>
          <w:sz w:val="20"/>
          <w:szCs w:val="20"/>
        </w:rPr>
        <w:t xml:space="preserve">1.- Los derechos reconocidos en los Capítulos I, II y III del ejercicio corriente, procede ajustarlos positiva o negativamente con arreglo al criterio de caja: Si la recaudación en dichos capítulos (tanto de corrientes como de cerrados) es menor o mayor que el importe reconocido procederá ajuste a la baja (mayor déficit) o al </w:t>
      </w:r>
      <w:r w:rsidR="00001F23" w:rsidRPr="00F51B44">
        <w:rPr>
          <w:rFonts w:ascii="AytoRoquetas Light Condensed" w:eastAsia="Times New Roman" w:hAnsi="AytoRoquetas Light Condensed" w:cs="Times New Roman"/>
          <w:sz w:val="20"/>
          <w:szCs w:val="20"/>
        </w:rPr>
        <w:t>alza (</w:t>
      </w:r>
      <w:r w:rsidRPr="00F51B44">
        <w:rPr>
          <w:rFonts w:ascii="AytoRoquetas Light Condensed" w:eastAsia="Times New Roman" w:hAnsi="AytoRoquetas Light Condensed" w:cs="Times New Roman"/>
          <w:sz w:val="20"/>
          <w:szCs w:val="20"/>
        </w:rPr>
        <w:t>menor déficit), respectivamente.</w:t>
      </w:r>
    </w:p>
    <w:p w14:paraId="5ED12D72" w14:textId="1FFFCB83" w:rsidR="0061024C" w:rsidRPr="00F51B44" w:rsidRDefault="0061024C" w:rsidP="0061024C">
      <w:pPr>
        <w:spacing w:before="120" w:after="120" w:line="240" w:lineRule="auto"/>
        <w:jc w:val="both"/>
        <w:rPr>
          <w:rFonts w:ascii="AytoRoquetas Light Condensed" w:eastAsia="Times New Roman" w:hAnsi="AytoRoquetas Light Condensed" w:cs="Times New Roman"/>
          <w:sz w:val="20"/>
          <w:szCs w:val="20"/>
        </w:rPr>
      </w:pPr>
      <w:r w:rsidRPr="00F51B44">
        <w:rPr>
          <w:rFonts w:ascii="AytoRoquetas Light Condensed" w:eastAsia="Times New Roman" w:hAnsi="AytoRoquetas Light Condensed" w:cs="Times New Roman"/>
          <w:sz w:val="20"/>
          <w:szCs w:val="20"/>
        </w:rPr>
        <w:t xml:space="preserve">2.- Las subvenciones y transferencias </w:t>
      </w:r>
      <w:r w:rsidR="00001F23" w:rsidRPr="00F51B44">
        <w:rPr>
          <w:rFonts w:ascii="AytoRoquetas Light Condensed" w:eastAsia="Times New Roman" w:hAnsi="AytoRoquetas Light Condensed" w:cs="Times New Roman"/>
          <w:sz w:val="20"/>
          <w:szCs w:val="20"/>
        </w:rPr>
        <w:t>recibidas de</w:t>
      </w:r>
      <w:r w:rsidRPr="00F51B44">
        <w:rPr>
          <w:rFonts w:ascii="AytoRoquetas Light Condensed" w:eastAsia="Times New Roman" w:hAnsi="AytoRoquetas Light Condensed" w:cs="Times New Roman"/>
          <w:sz w:val="20"/>
          <w:szCs w:val="20"/>
        </w:rPr>
        <w:t xml:space="preserve"> los Capítulos IV y VII, se ajustarán con arreglo al criterio de caja, en función de la recepción de los fondos en tesorería, sin perjuicio de su reconocimiento anticipado cuando de forma fehaciente se conozca que la entidad concedente ha reconocido su obligación.</w:t>
      </w:r>
    </w:p>
    <w:p w14:paraId="19C9542B" w14:textId="0892CFEC" w:rsidR="0061024C" w:rsidRPr="00F51B44" w:rsidRDefault="0061024C" w:rsidP="0061024C">
      <w:pPr>
        <w:spacing w:before="120" w:after="120" w:line="240" w:lineRule="auto"/>
        <w:jc w:val="both"/>
        <w:rPr>
          <w:rFonts w:ascii="AytoRoquetas Light Condensed" w:eastAsia="Times New Roman" w:hAnsi="AytoRoquetas Light Condensed" w:cs="Times New Roman"/>
          <w:sz w:val="20"/>
          <w:szCs w:val="20"/>
        </w:rPr>
      </w:pPr>
      <w:r w:rsidRPr="00F51B44">
        <w:rPr>
          <w:rFonts w:ascii="AytoRoquetas Light Condensed" w:eastAsia="Times New Roman" w:hAnsi="AytoRoquetas Light Condensed" w:cs="Times New Roman"/>
          <w:sz w:val="20"/>
          <w:szCs w:val="20"/>
        </w:rPr>
        <w:t xml:space="preserve">Si se trata de fondos de la UE, no procederá el ajuste si la Entidad ha realizado el gasto y enviado la documentación. El ajuste (a la baja) será negativo por los saldos </w:t>
      </w:r>
      <w:r w:rsidR="00001F23" w:rsidRPr="00F51B44">
        <w:rPr>
          <w:rFonts w:ascii="AytoRoquetas Light Condensed" w:eastAsia="Times New Roman" w:hAnsi="AytoRoquetas Light Condensed" w:cs="Times New Roman"/>
          <w:sz w:val="20"/>
          <w:szCs w:val="20"/>
        </w:rPr>
        <w:t>de derechos</w:t>
      </w:r>
      <w:r w:rsidRPr="00F51B44">
        <w:rPr>
          <w:rFonts w:ascii="AytoRoquetas Light Condensed" w:eastAsia="Times New Roman" w:hAnsi="AytoRoquetas Light Condensed" w:cs="Times New Roman"/>
          <w:sz w:val="20"/>
          <w:szCs w:val="20"/>
        </w:rPr>
        <w:t xml:space="preserve"> reconocidos que supere el valor de reembolso.   </w:t>
      </w:r>
    </w:p>
    <w:p w14:paraId="68BF35D6" w14:textId="398526B5" w:rsidR="004C375C" w:rsidRPr="00F51B44" w:rsidRDefault="004C375C" w:rsidP="0061024C">
      <w:pPr>
        <w:spacing w:before="120" w:after="120" w:line="240" w:lineRule="auto"/>
        <w:jc w:val="both"/>
        <w:rPr>
          <w:rFonts w:ascii="AytoRoquetas Light Condensed" w:eastAsia="Times New Roman" w:hAnsi="AytoRoquetas Light Condensed" w:cs="Times New Roman"/>
          <w:sz w:val="20"/>
          <w:szCs w:val="20"/>
        </w:rPr>
      </w:pPr>
      <w:r w:rsidRPr="00F51B44">
        <w:rPr>
          <w:rFonts w:ascii="AytoRoquetas Light Condensed" w:eastAsia="Times New Roman" w:hAnsi="AytoRoquetas Light Condensed" w:cs="Times New Roman"/>
          <w:sz w:val="20"/>
          <w:szCs w:val="20"/>
        </w:rPr>
        <w:t>Si los derechos reconocidos son inferiores a los gastos cofinanciados y certificados, la diferencia determinará un ajuste positivo al saldo presupuestario que reducirá el déficit público</w:t>
      </w:r>
    </w:p>
    <w:p w14:paraId="5BAEC2B9" w14:textId="77777777" w:rsidR="0061024C" w:rsidRPr="00F51B44" w:rsidRDefault="0061024C" w:rsidP="0061024C">
      <w:pPr>
        <w:spacing w:before="120" w:after="120" w:line="240" w:lineRule="auto"/>
        <w:jc w:val="both"/>
        <w:rPr>
          <w:rFonts w:ascii="AytoRoquetas Light Condensed" w:eastAsia="Times New Roman" w:hAnsi="AytoRoquetas Light Condensed" w:cs="Times New Roman"/>
          <w:sz w:val="20"/>
          <w:szCs w:val="20"/>
        </w:rPr>
      </w:pPr>
      <w:r w:rsidRPr="00F51B44">
        <w:rPr>
          <w:rFonts w:ascii="AytoRoquetas Light Condensed" w:eastAsia="Times New Roman" w:hAnsi="AytoRoquetas Light Condensed" w:cs="Times New Roman"/>
          <w:sz w:val="20"/>
          <w:szCs w:val="20"/>
        </w:rPr>
        <w:t>3.- Los intereses del Capitulo V se ajustarán con arreglo a criterio de devengo.</w:t>
      </w:r>
    </w:p>
    <w:p w14:paraId="5A710986" w14:textId="77777777" w:rsidR="0061024C" w:rsidRPr="00F51B44" w:rsidRDefault="0061024C" w:rsidP="0061024C">
      <w:pPr>
        <w:spacing w:before="120" w:after="120" w:line="240" w:lineRule="auto"/>
        <w:jc w:val="both"/>
        <w:rPr>
          <w:rFonts w:ascii="AytoRoquetas Light Condensed" w:eastAsia="Times New Roman" w:hAnsi="AytoRoquetas Light Condensed" w:cs="Times New Roman"/>
          <w:b/>
          <w:bCs/>
          <w:sz w:val="20"/>
          <w:szCs w:val="20"/>
        </w:rPr>
      </w:pPr>
      <w:r w:rsidRPr="00F51B44">
        <w:rPr>
          <w:rFonts w:ascii="AytoRoquetas Light Condensed" w:eastAsia="Times New Roman" w:hAnsi="AytoRoquetas Light Condensed" w:cs="Times New Roman"/>
          <w:b/>
          <w:bCs/>
          <w:sz w:val="20"/>
          <w:szCs w:val="20"/>
        </w:rPr>
        <w:t>Estado de Gastos:</w:t>
      </w:r>
    </w:p>
    <w:p w14:paraId="3D873D1C" w14:textId="77777777" w:rsidR="0061024C" w:rsidRPr="00F51B44" w:rsidRDefault="0061024C" w:rsidP="0061024C">
      <w:pPr>
        <w:spacing w:before="120" w:after="120" w:line="240" w:lineRule="auto"/>
        <w:jc w:val="both"/>
        <w:rPr>
          <w:rFonts w:ascii="AytoRoquetas Light Condensed" w:eastAsia="Times New Roman" w:hAnsi="AytoRoquetas Light Condensed" w:cs="Times New Roman"/>
          <w:sz w:val="20"/>
          <w:szCs w:val="20"/>
        </w:rPr>
      </w:pPr>
      <w:r w:rsidRPr="00F51B44">
        <w:rPr>
          <w:rFonts w:ascii="AytoRoquetas Light Condensed" w:eastAsia="Times New Roman" w:hAnsi="AytoRoquetas Light Condensed" w:cs="Times New Roman"/>
          <w:sz w:val="20"/>
          <w:szCs w:val="20"/>
        </w:rPr>
        <w:t>1.-Las obligaciones reconocidas por intereses en el Capítulo III, se ajustarán con arreglo a criterio de devengo, y por la diferencia entre los intereses devengados y dichas obligaciones, siendo positivo el ajuste (menor déficit) si las obligaciones son mayores a los intereses devengados y, negativo, en caso contrario.</w:t>
      </w:r>
    </w:p>
    <w:p w14:paraId="08403670" w14:textId="77777777" w:rsidR="0061024C" w:rsidRPr="00F51B44" w:rsidRDefault="0061024C" w:rsidP="0061024C">
      <w:pPr>
        <w:spacing w:before="120" w:after="120" w:line="240" w:lineRule="auto"/>
        <w:jc w:val="both"/>
        <w:rPr>
          <w:rFonts w:ascii="AytoRoquetas Light Condensed" w:eastAsia="Times New Roman" w:hAnsi="AytoRoquetas Light Condensed" w:cs="Times New Roman"/>
          <w:sz w:val="20"/>
          <w:szCs w:val="20"/>
        </w:rPr>
      </w:pPr>
      <w:r w:rsidRPr="00F51B44">
        <w:rPr>
          <w:rFonts w:ascii="AytoRoquetas Light Condensed" w:eastAsia="Times New Roman" w:hAnsi="AytoRoquetas Light Condensed" w:cs="Times New Roman"/>
          <w:sz w:val="20"/>
          <w:szCs w:val="20"/>
        </w:rPr>
        <w:t>2.- El saldo de la cuenta 413, recoge las obligaciones derivadas de gastos realizados o bienes y servicios recibidos pendiente de imputar al presupuesto, se ajustará al alza por dicho importe, incrementando el déficit y ajustar a la baja (menor déficit) por las facturas de ejercicios anteriores imputadas al presupuesto corriente.</w:t>
      </w:r>
    </w:p>
    <w:p w14:paraId="2275234E" w14:textId="2E020CD5" w:rsidR="0061024C" w:rsidRPr="00F51B44" w:rsidRDefault="0061024C" w:rsidP="0061024C">
      <w:pPr>
        <w:spacing w:before="120" w:after="120" w:line="240" w:lineRule="auto"/>
        <w:jc w:val="both"/>
        <w:rPr>
          <w:rFonts w:ascii="AytoRoquetas Light Condensed" w:eastAsia="Times New Roman" w:hAnsi="AytoRoquetas Light Condensed" w:cs="Times New Roman"/>
          <w:sz w:val="20"/>
          <w:szCs w:val="20"/>
        </w:rPr>
      </w:pPr>
      <w:r w:rsidRPr="00F51B44">
        <w:rPr>
          <w:rFonts w:ascii="AytoRoquetas Light Condensed" w:eastAsia="Times New Roman" w:hAnsi="AytoRoquetas Light Condensed" w:cs="Times New Roman"/>
          <w:sz w:val="20"/>
          <w:szCs w:val="20"/>
        </w:rPr>
        <w:t xml:space="preserve">De cuanto antecede y para </w:t>
      </w:r>
      <w:r w:rsidR="00001F23" w:rsidRPr="00F51B44">
        <w:rPr>
          <w:rFonts w:ascii="AytoRoquetas Light Condensed" w:eastAsia="Times New Roman" w:hAnsi="AytoRoquetas Light Condensed" w:cs="Times New Roman"/>
          <w:sz w:val="20"/>
          <w:szCs w:val="20"/>
        </w:rPr>
        <w:t>la liquidación d</w:t>
      </w:r>
      <w:r w:rsidRPr="00F51B44">
        <w:rPr>
          <w:rFonts w:ascii="AytoRoquetas Light Condensed" w:eastAsia="Times New Roman" w:hAnsi="AytoRoquetas Light Condensed" w:cs="Times New Roman"/>
          <w:sz w:val="20"/>
          <w:szCs w:val="20"/>
        </w:rPr>
        <w:t>el ejercicio de 202</w:t>
      </w:r>
      <w:r w:rsidR="002B25E2">
        <w:rPr>
          <w:rFonts w:ascii="AytoRoquetas Light Condensed" w:eastAsia="Times New Roman" w:hAnsi="AytoRoquetas Light Condensed" w:cs="Times New Roman"/>
          <w:sz w:val="20"/>
          <w:szCs w:val="20"/>
        </w:rPr>
        <w:t>4</w:t>
      </w:r>
      <w:r w:rsidRPr="00F51B44">
        <w:rPr>
          <w:rFonts w:ascii="AytoRoquetas Light Condensed" w:eastAsia="Times New Roman" w:hAnsi="AytoRoquetas Light Condensed" w:cs="Times New Roman"/>
          <w:sz w:val="20"/>
          <w:szCs w:val="20"/>
        </w:rPr>
        <w:t>, procede efectuar los siguientes ajustes, arrojando el siguiente resumen:</w:t>
      </w:r>
    </w:p>
    <w:p w14:paraId="02D83F28" w14:textId="19E35E77" w:rsidR="0061024C" w:rsidRPr="00F51B44" w:rsidRDefault="002C73AA" w:rsidP="0061024C">
      <w:pPr>
        <w:spacing w:before="120" w:after="120" w:line="240" w:lineRule="auto"/>
        <w:jc w:val="both"/>
        <w:rPr>
          <w:rFonts w:ascii="AytoRoquetas Light Condensed" w:eastAsia="Times New Roman" w:hAnsi="AytoRoquetas Light Condensed" w:cs="Times New Roman"/>
          <w:sz w:val="20"/>
          <w:szCs w:val="20"/>
        </w:rPr>
      </w:pPr>
      <w:r w:rsidRPr="002C73AA">
        <w:lastRenderedPageBreak/>
        <w:drawing>
          <wp:inline distT="0" distB="0" distL="0" distR="0" wp14:anchorId="381B0066" wp14:editId="7A91B0C8">
            <wp:extent cx="5400040" cy="7301230"/>
            <wp:effectExtent l="0" t="0" r="0" b="0"/>
            <wp:docPr id="2894957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040" cy="7301230"/>
                    </a:xfrm>
                    <a:prstGeom prst="rect">
                      <a:avLst/>
                    </a:prstGeom>
                    <a:noFill/>
                    <a:ln>
                      <a:noFill/>
                    </a:ln>
                  </pic:spPr>
                </pic:pic>
              </a:graphicData>
            </a:graphic>
          </wp:inline>
        </w:drawing>
      </w:r>
    </w:p>
    <w:p w14:paraId="5AE1A474" w14:textId="77777777" w:rsidR="0061024C" w:rsidRPr="00F51B44" w:rsidRDefault="0061024C" w:rsidP="0061024C">
      <w:pPr>
        <w:spacing w:before="120" w:after="120" w:line="240" w:lineRule="auto"/>
        <w:jc w:val="both"/>
        <w:rPr>
          <w:rFonts w:ascii="AytoRoquetas Light Condensed" w:eastAsia="Times New Roman" w:hAnsi="AytoRoquetas Light Condensed" w:cs="Times New Roman"/>
          <w:b/>
          <w:bCs/>
          <w:sz w:val="20"/>
          <w:szCs w:val="20"/>
        </w:rPr>
      </w:pPr>
    </w:p>
    <w:p w14:paraId="1D6ECD49" w14:textId="157F872A" w:rsidR="0061024C" w:rsidRPr="00F51B44" w:rsidRDefault="0061024C" w:rsidP="0061024C">
      <w:pPr>
        <w:spacing w:before="120" w:after="120" w:line="240" w:lineRule="auto"/>
        <w:jc w:val="both"/>
        <w:rPr>
          <w:rFonts w:ascii="AytoRoquetas Light Condensed" w:eastAsia="Times New Roman" w:hAnsi="AytoRoquetas Light Condensed" w:cs="Times New Roman"/>
          <w:b/>
          <w:bCs/>
          <w:sz w:val="20"/>
          <w:szCs w:val="20"/>
        </w:rPr>
      </w:pPr>
      <w:r w:rsidRPr="00F51B44">
        <w:rPr>
          <w:rFonts w:ascii="AytoRoquetas Light Condensed" w:eastAsia="Times New Roman" w:hAnsi="AytoRoquetas Light Condensed" w:cs="Times New Roman"/>
          <w:sz w:val="20"/>
          <w:szCs w:val="20"/>
        </w:rPr>
        <w:t xml:space="preserve"> </w:t>
      </w:r>
      <w:r w:rsidRPr="00F51B44">
        <w:rPr>
          <w:rFonts w:ascii="AytoRoquetas Light Condensed" w:eastAsia="Times New Roman" w:hAnsi="AytoRoquetas Light Condensed" w:cs="Times New Roman"/>
          <w:b/>
          <w:bCs/>
          <w:sz w:val="20"/>
          <w:szCs w:val="20"/>
        </w:rPr>
        <w:t xml:space="preserve">RESULTADO: </w:t>
      </w:r>
      <w:r w:rsidR="004C375C" w:rsidRPr="00F51B44">
        <w:rPr>
          <w:rFonts w:ascii="AytoRoquetas Light Condensed" w:eastAsia="Times New Roman" w:hAnsi="AytoRoquetas Light Condensed" w:cs="Times New Roman"/>
          <w:b/>
          <w:bCs/>
          <w:sz w:val="20"/>
          <w:szCs w:val="20"/>
        </w:rPr>
        <w:t>CAPACIDAD DE FINANCIACION O SUPERAVIT por importe de 174.556,55</w:t>
      </w:r>
    </w:p>
    <w:p w14:paraId="533B9304" w14:textId="77777777" w:rsidR="005F34BB" w:rsidRPr="00F51B44" w:rsidRDefault="005F34BB" w:rsidP="0061024C">
      <w:pPr>
        <w:spacing w:before="120" w:after="120" w:line="240" w:lineRule="auto"/>
        <w:jc w:val="both"/>
        <w:rPr>
          <w:rFonts w:ascii="AytoRoquetas Light Condensed" w:hAnsi="AytoRoquetas Light Condensed" w:cs="Times New Roman"/>
          <w:b/>
          <w:bCs/>
          <w:sz w:val="20"/>
          <w:szCs w:val="20"/>
        </w:rPr>
      </w:pPr>
    </w:p>
    <w:p w14:paraId="02E46A5B" w14:textId="3B994559" w:rsidR="005F34BB" w:rsidRPr="00F51B44" w:rsidRDefault="00514A94" w:rsidP="0061024C">
      <w:pPr>
        <w:spacing w:before="120" w:after="120" w:line="240" w:lineRule="auto"/>
        <w:jc w:val="both"/>
        <w:rPr>
          <w:rFonts w:ascii="AytoRoquetas Light Condensed" w:hAnsi="AytoRoquetas Light Condensed" w:cs="Times New Roman"/>
          <w:b/>
          <w:bCs/>
          <w:sz w:val="20"/>
          <w:szCs w:val="20"/>
        </w:rPr>
      </w:pPr>
      <w:r w:rsidRPr="00F51B44">
        <w:rPr>
          <w:rFonts w:ascii="AytoRoquetas Light Condensed" w:hAnsi="AytoRoquetas Light Condensed" w:cs="Times New Roman"/>
          <w:b/>
          <w:bCs/>
          <w:sz w:val="20"/>
          <w:szCs w:val="20"/>
        </w:rPr>
        <w:t>CUARTO. -</w:t>
      </w:r>
      <w:r w:rsidR="005F34BB" w:rsidRPr="00F51B44">
        <w:rPr>
          <w:rFonts w:ascii="AytoRoquetas Light Condensed" w:hAnsi="AytoRoquetas Light Condensed" w:cs="Times New Roman"/>
          <w:b/>
          <w:bCs/>
          <w:sz w:val="20"/>
          <w:szCs w:val="20"/>
        </w:rPr>
        <w:t xml:space="preserve"> REGLA DE GASTO</w:t>
      </w:r>
    </w:p>
    <w:p w14:paraId="323D1AC4" w14:textId="77777777" w:rsidR="005F34BB" w:rsidRPr="00F51B44" w:rsidRDefault="005F34BB" w:rsidP="005F34BB">
      <w:pPr>
        <w:spacing w:before="120" w:after="120" w:line="240" w:lineRule="auto"/>
        <w:jc w:val="both"/>
        <w:rPr>
          <w:rFonts w:ascii="AytoRoquetas Light Condensed" w:hAnsi="AytoRoquetas Light Condensed" w:cs="Times New Roman"/>
          <w:sz w:val="20"/>
          <w:szCs w:val="20"/>
        </w:rPr>
      </w:pPr>
      <w:r w:rsidRPr="00F51B44">
        <w:rPr>
          <w:rFonts w:ascii="AytoRoquetas Light Condensed" w:hAnsi="AytoRoquetas Light Condensed" w:cs="Times New Roman"/>
          <w:sz w:val="20"/>
          <w:szCs w:val="20"/>
        </w:rPr>
        <w:lastRenderedPageBreak/>
        <w:t>La Ley Orgánica 2/2012, de 27 de abril, de Estabilidad Presupuestaria y Sostenibilidad Financiera, en su Art. 30 establece que el Estado, las Comunidades Autónomas y las Corporaciones Locales aprobarán, en sus respectivos ámbitos, un límite máximo de gasto no financiero, coherente con el objetivo de estabilidad presupuestaria y la regla de gasto, que marcará el techo de asignación de recursos de sus Presupuestos. El límite de gasto no financiero excluirá las transferencias vinculadas a los sistemas de financiación de Comunidades Autónomas y Corporaciones Locales.</w:t>
      </w:r>
    </w:p>
    <w:p w14:paraId="6D389CA7" w14:textId="77777777" w:rsidR="005F34BB" w:rsidRPr="00F51B44" w:rsidRDefault="005F34BB" w:rsidP="005F34BB">
      <w:pPr>
        <w:spacing w:before="120" w:after="120" w:line="240" w:lineRule="auto"/>
        <w:jc w:val="both"/>
        <w:rPr>
          <w:rFonts w:ascii="AytoRoquetas Light Condensed" w:hAnsi="AytoRoquetas Light Condensed" w:cs="Times New Roman"/>
          <w:sz w:val="20"/>
          <w:szCs w:val="20"/>
        </w:rPr>
      </w:pPr>
    </w:p>
    <w:p w14:paraId="2FDEAF80" w14:textId="77777777" w:rsidR="005F34BB" w:rsidRPr="00F51B44" w:rsidRDefault="005F34BB" w:rsidP="005F34BB">
      <w:pPr>
        <w:spacing w:before="120" w:after="120" w:line="240" w:lineRule="auto"/>
        <w:jc w:val="both"/>
        <w:rPr>
          <w:rFonts w:ascii="AytoRoquetas Light Condensed" w:hAnsi="AytoRoquetas Light Condensed" w:cs="Times New Roman"/>
          <w:sz w:val="20"/>
          <w:szCs w:val="20"/>
        </w:rPr>
      </w:pPr>
      <w:r w:rsidRPr="00F51B44">
        <w:rPr>
          <w:rFonts w:ascii="AytoRoquetas Light Condensed" w:hAnsi="AytoRoquetas Light Condensed" w:cs="Times New Roman"/>
          <w:sz w:val="20"/>
          <w:szCs w:val="20"/>
        </w:rPr>
        <w:t>De acuerdo a lo dispuesto en el artículo 12 de la Ley Orgánica de Estabilidad Presupuestaria y Estabilidad Financiera 2/2012, de 27 de abril, la variación del gasto computable de las Corporaciones Locales, no podrá superar la tasa de referencia de crecimiento del PIB.</w:t>
      </w:r>
    </w:p>
    <w:p w14:paraId="0CFF8CA8" w14:textId="77777777" w:rsidR="005F34BB" w:rsidRPr="00F51B44" w:rsidRDefault="005F34BB" w:rsidP="005F34BB">
      <w:pPr>
        <w:spacing w:before="120" w:after="120" w:line="240" w:lineRule="auto"/>
        <w:jc w:val="both"/>
        <w:rPr>
          <w:rFonts w:ascii="AytoRoquetas Light Condensed" w:hAnsi="AytoRoquetas Light Condensed" w:cs="Times New Roman"/>
          <w:sz w:val="20"/>
          <w:szCs w:val="20"/>
        </w:rPr>
      </w:pPr>
    </w:p>
    <w:p w14:paraId="42C3C3A0" w14:textId="77777777" w:rsidR="005F34BB" w:rsidRPr="00F51B44" w:rsidRDefault="005F34BB" w:rsidP="005F34BB">
      <w:pPr>
        <w:spacing w:before="120" w:after="120" w:line="240" w:lineRule="auto"/>
        <w:jc w:val="both"/>
        <w:rPr>
          <w:rFonts w:ascii="AytoRoquetas Light Condensed" w:hAnsi="AytoRoquetas Light Condensed" w:cs="Times New Roman"/>
          <w:sz w:val="20"/>
          <w:szCs w:val="20"/>
        </w:rPr>
      </w:pPr>
      <w:r w:rsidRPr="00F51B44">
        <w:rPr>
          <w:rFonts w:ascii="AytoRoquetas Light Condensed" w:hAnsi="AytoRoquetas Light Condensed" w:cs="Times New Roman"/>
          <w:sz w:val="20"/>
          <w:szCs w:val="20"/>
        </w:rPr>
        <w:t>La Ley Orgánica 2/2012, de 27 de abril, de Estabilidad Presupuestaria y Sostenibilidad Financiera, en su Art. 30 establece que el Estado, las Comunidades Autónomas y las Corporaciones Locales aprobarán, en sus respectivos ámbitos, un límite máximo de gasto no financiero, coherente con el objetivo de estabilidad presupuestaria y la regla de gasto, que marcará el techo de asignación de recursos de sus Presupuestos. El límite de gasto no financiero excluirá las transferencias vinculadas a los sistemas de financiación de Comunidades Autónomas y Corporaciones Locales.</w:t>
      </w:r>
    </w:p>
    <w:p w14:paraId="6B34AC9C" w14:textId="77777777" w:rsidR="005F34BB" w:rsidRPr="00F51B44" w:rsidRDefault="005F34BB" w:rsidP="005F34BB">
      <w:pPr>
        <w:spacing w:before="120" w:after="120" w:line="240" w:lineRule="auto"/>
        <w:jc w:val="both"/>
        <w:rPr>
          <w:rFonts w:ascii="AytoRoquetas Light Condensed" w:hAnsi="AytoRoquetas Light Condensed" w:cs="Times New Roman"/>
          <w:sz w:val="20"/>
          <w:szCs w:val="20"/>
        </w:rPr>
      </w:pPr>
    </w:p>
    <w:p w14:paraId="5ECED48E" w14:textId="77777777" w:rsidR="005F34BB" w:rsidRPr="00F51B44" w:rsidRDefault="005F34BB" w:rsidP="005F34BB">
      <w:pPr>
        <w:spacing w:before="120" w:after="120" w:line="240" w:lineRule="auto"/>
        <w:jc w:val="both"/>
        <w:rPr>
          <w:rFonts w:ascii="AytoRoquetas Light Condensed" w:hAnsi="AytoRoquetas Light Condensed" w:cs="Times New Roman"/>
          <w:sz w:val="20"/>
          <w:szCs w:val="20"/>
        </w:rPr>
      </w:pPr>
      <w:r w:rsidRPr="00F51B44">
        <w:rPr>
          <w:rFonts w:ascii="AytoRoquetas Light Condensed" w:hAnsi="AytoRoquetas Light Condensed" w:cs="Times New Roman"/>
          <w:sz w:val="20"/>
          <w:szCs w:val="20"/>
        </w:rPr>
        <w:t xml:space="preserve">La Intervención General de la Administración  del Estado elaboró una  Guía para la determinación de la Regla de Gasto del Artículo 12 de la Ley Orgánica 2/2012, de Estabilidad Presupuestaria y Sostenibilidad Financiera para las Corporaciones Locales, considerando los empleos no financieros en términos del Sistema Europeo de Cuentas Nacionales y Regionales, excluidos los intereses de la deuda, el gasto no discrecional en prestaciones por desempleo, la parte del gasto financiado con fondos finalistas procedentes de la Unión Europea o de otras AA.PP., y las transferencias vinculadas a los sistemas de financiación, corrigiendo el valor presupuestario obtenido con el ajuste del gasto SEC. </w:t>
      </w:r>
    </w:p>
    <w:p w14:paraId="3FBD3D67" w14:textId="77777777" w:rsidR="005F34BB" w:rsidRPr="00F51B44" w:rsidRDefault="005F34BB" w:rsidP="005F34BB">
      <w:pPr>
        <w:spacing w:before="120" w:after="120" w:line="240" w:lineRule="auto"/>
        <w:jc w:val="both"/>
        <w:rPr>
          <w:rFonts w:ascii="AytoRoquetas Light Condensed" w:hAnsi="AytoRoquetas Light Condensed" w:cs="Times New Roman"/>
          <w:sz w:val="20"/>
          <w:szCs w:val="20"/>
        </w:rPr>
      </w:pPr>
    </w:p>
    <w:p w14:paraId="59E96EE2" w14:textId="3FDA2A60" w:rsidR="005F34BB" w:rsidRPr="00F51B44" w:rsidRDefault="005F34BB" w:rsidP="005F34BB">
      <w:pPr>
        <w:spacing w:before="120" w:after="120" w:line="240" w:lineRule="auto"/>
        <w:jc w:val="both"/>
        <w:rPr>
          <w:rFonts w:ascii="AytoRoquetas Light Condensed" w:hAnsi="AytoRoquetas Light Condensed" w:cs="Times New Roman"/>
          <w:sz w:val="20"/>
          <w:szCs w:val="20"/>
        </w:rPr>
      </w:pPr>
      <w:r w:rsidRPr="00F51B44">
        <w:rPr>
          <w:rFonts w:ascii="AytoRoquetas Light Condensed" w:hAnsi="AytoRoquetas Light Condensed" w:cs="Times New Roman"/>
          <w:sz w:val="20"/>
          <w:szCs w:val="20"/>
        </w:rPr>
        <w:t>De acuerdo a lo establecido en la Guía para la determinación de la Regla de Gasto del art. 12 de la LOESPYF para las Corporaciones locales, para la determinación del gasto computable del ejercicio 202</w:t>
      </w:r>
      <w:r w:rsidR="002C73AA">
        <w:rPr>
          <w:rFonts w:ascii="AytoRoquetas Light Condensed" w:hAnsi="AytoRoquetas Light Condensed" w:cs="Times New Roman"/>
          <w:sz w:val="20"/>
          <w:szCs w:val="20"/>
        </w:rPr>
        <w:t>4</w:t>
      </w:r>
      <w:r w:rsidRPr="00F51B44">
        <w:rPr>
          <w:rFonts w:ascii="AytoRoquetas Light Condensed" w:hAnsi="AytoRoquetas Light Condensed" w:cs="Times New Roman"/>
          <w:sz w:val="20"/>
          <w:szCs w:val="20"/>
        </w:rPr>
        <w:t>, se parte de la liquidación de los empleos no financieros en términos del SEC excluidos los intereses de la deuda, este importe se ha minorado en la parte de gasto financiado con fondos de la Unión Europea y de otras Administraciones Públicas, así como por el importe correspondiente a pagos por transferencias y otras operaciones internas, a otras entidades que integran la Corporación Local.</w:t>
      </w:r>
    </w:p>
    <w:p w14:paraId="6B4FC577" w14:textId="77777777" w:rsidR="005F34BB" w:rsidRPr="00F51B44" w:rsidRDefault="005F34BB" w:rsidP="005F34BB">
      <w:pPr>
        <w:spacing w:before="120" w:after="120" w:line="240" w:lineRule="auto"/>
        <w:jc w:val="both"/>
        <w:rPr>
          <w:rFonts w:ascii="AytoRoquetas Light Condensed" w:hAnsi="AytoRoquetas Light Condensed" w:cs="Times New Roman"/>
          <w:sz w:val="20"/>
          <w:szCs w:val="20"/>
        </w:rPr>
      </w:pPr>
    </w:p>
    <w:p w14:paraId="6E575F9D" w14:textId="77777777" w:rsidR="005F34BB" w:rsidRPr="00F51B44" w:rsidRDefault="005F34BB" w:rsidP="005F34BB">
      <w:pPr>
        <w:spacing w:before="120" w:after="120" w:line="240" w:lineRule="auto"/>
        <w:jc w:val="both"/>
        <w:rPr>
          <w:rFonts w:ascii="AytoRoquetas Light Condensed" w:hAnsi="AytoRoquetas Light Condensed" w:cs="Times New Roman"/>
          <w:b/>
          <w:sz w:val="20"/>
          <w:szCs w:val="20"/>
        </w:rPr>
      </w:pPr>
      <w:r w:rsidRPr="00F51B44">
        <w:rPr>
          <w:rFonts w:ascii="AytoRoquetas Light Condensed" w:hAnsi="AytoRoquetas Light Condensed" w:cs="Times New Roman"/>
          <w:sz w:val="20"/>
          <w:szCs w:val="20"/>
        </w:rPr>
        <w:t>La regla de gasto se calculará comprobando que la variación del gasto computable no supere la tasa de referencia del crecimiento del producto interior bruto, publicada por el Ministerio de Economía y Competitividad.</w:t>
      </w:r>
    </w:p>
    <w:p w14:paraId="28FBEDC4" w14:textId="7FD35878" w:rsidR="005F34BB" w:rsidRPr="00F51B44" w:rsidRDefault="005F34BB" w:rsidP="005F34BB">
      <w:pPr>
        <w:spacing w:before="120" w:after="120" w:line="240" w:lineRule="auto"/>
        <w:jc w:val="both"/>
        <w:rPr>
          <w:rFonts w:ascii="AytoRoquetas Light Condensed" w:hAnsi="AytoRoquetas Light Condensed" w:cs="Times New Roman"/>
          <w:sz w:val="20"/>
          <w:szCs w:val="20"/>
        </w:rPr>
      </w:pPr>
      <w:r w:rsidRPr="00F51B44">
        <w:rPr>
          <w:rFonts w:ascii="AytoRoquetas Light Condensed" w:hAnsi="AytoRoquetas Light Condensed" w:cs="Times New Roman"/>
          <w:sz w:val="20"/>
          <w:szCs w:val="20"/>
        </w:rPr>
        <w:t xml:space="preserve"> El gasto computable se </w:t>
      </w:r>
      <w:r w:rsidR="002C7008" w:rsidRPr="00F51B44">
        <w:rPr>
          <w:rFonts w:ascii="AytoRoquetas Light Condensed" w:hAnsi="AytoRoquetas Light Condensed" w:cs="Times New Roman"/>
          <w:sz w:val="20"/>
          <w:szCs w:val="20"/>
        </w:rPr>
        <w:t>calculará</w:t>
      </w:r>
      <w:r w:rsidRPr="00F51B44">
        <w:rPr>
          <w:rFonts w:ascii="AytoRoquetas Light Condensed" w:hAnsi="AytoRoquetas Light Condensed" w:cs="Times New Roman"/>
          <w:sz w:val="20"/>
          <w:szCs w:val="20"/>
        </w:rPr>
        <w:t xml:space="preserve"> computando los capítulos de:</w:t>
      </w:r>
    </w:p>
    <w:p w14:paraId="63DD490D" w14:textId="77777777" w:rsidR="005F34BB" w:rsidRPr="00F51B44" w:rsidRDefault="005F34BB" w:rsidP="005F34BB">
      <w:pPr>
        <w:spacing w:before="120" w:after="120" w:line="240" w:lineRule="auto"/>
        <w:jc w:val="both"/>
        <w:rPr>
          <w:rFonts w:ascii="AytoRoquetas Light Condensed" w:hAnsi="AytoRoquetas Light Condensed" w:cs="Times New Roman"/>
          <w:sz w:val="20"/>
          <w:szCs w:val="20"/>
        </w:rPr>
      </w:pPr>
      <w:r w:rsidRPr="00F51B44">
        <w:rPr>
          <w:rFonts w:ascii="AytoRoquetas Light Condensed" w:hAnsi="AytoRoquetas Light Condensed" w:cs="Times New Roman"/>
          <w:sz w:val="20"/>
          <w:szCs w:val="20"/>
        </w:rPr>
        <w:t>+ Capítulo 1: Gastos de personal</w:t>
      </w:r>
    </w:p>
    <w:p w14:paraId="3B485130" w14:textId="77777777" w:rsidR="005F34BB" w:rsidRPr="00F51B44" w:rsidRDefault="005F34BB" w:rsidP="005F34BB">
      <w:pPr>
        <w:spacing w:before="120" w:after="120" w:line="240" w:lineRule="auto"/>
        <w:jc w:val="both"/>
        <w:rPr>
          <w:rFonts w:ascii="AytoRoquetas Light Condensed" w:hAnsi="AytoRoquetas Light Condensed" w:cs="Times New Roman"/>
          <w:sz w:val="20"/>
          <w:szCs w:val="20"/>
        </w:rPr>
      </w:pPr>
      <w:r w:rsidRPr="00F51B44">
        <w:rPr>
          <w:rFonts w:ascii="AytoRoquetas Light Condensed" w:hAnsi="AytoRoquetas Light Condensed" w:cs="Times New Roman"/>
          <w:sz w:val="20"/>
          <w:szCs w:val="20"/>
        </w:rPr>
        <w:t>+ Capítulo 2: Compra de bienes y servicios</w:t>
      </w:r>
    </w:p>
    <w:p w14:paraId="605F73A1" w14:textId="77777777" w:rsidR="005F34BB" w:rsidRPr="00F51B44" w:rsidRDefault="005F34BB" w:rsidP="005F34BB">
      <w:pPr>
        <w:spacing w:before="120" w:after="120" w:line="240" w:lineRule="auto"/>
        <w:jc w:val="both"/>
        <w:rPr>
          <w:rFonts w:ascii="AytoRoquetas Light Condensed" w:hAnsi="AytoRoquetas Light Condensed" w:cs="Times New Roman"/>
          <w:sz w:val="20"/>
          <w:szCs w:val="20"/>
        </w:rPr>
      </w:pPr>
      <w:r w:rsidRPr="00F51B44">
        <w:rPr>
          <w:rFonts w:ascii="AytoRoquetas Light Condensed" w:hAnsi="AytoRoquetas Light Condensed" w:cs="Times New Roman"/>
          <w:sz w:val="20"/>
          <w:szCs w:val="20"/>
        </w:rPr>
        <w:t>+ Capitulo 3: Gastos financieros</w:t>
      </w:r>
    </w:p>
    <w:p w14:paraId="48E3D57C" w14:textId="77777777" w:rsidR="005F34BB" w:rsidRPr="00F51B44" w:rsidRDefault="005F34BB" w:rsidP="005F34BB">
      <w:pPr>
        <w:spacing w:before="120" w:after="120" w:line="240" w:lineRule="auto"/>
        <w:jc w:val="both"/>
        <w:rPr>
          <w:rFonts w:ascii="AytoRoquetas Light Condensed" w:hAnsi="AytoRoquetas Light Condensed" w:cs="Times New Roman"/>
          <w:sz w:val="20"/>
          <w:szCs w:val="20"/>
        </w:rPr>
      </w:pPr>
      <w:r w:rsidRPr="00F51B44">
        <w:rPr>
          <w:rFonts w:ascii="AytoRoquetas Light Condensed" w:hAnsi="AytoRoquetas Light Condensed" w:cs="Times New Roman"/>
          <w:sz w:val="20"/>
          <w:szCs w:val="20"/>
        </w:rPr>
        <w:t>- Intereses de la deuda computados en capítulo 3 de gastos financieros.</w:t>
      </w:r>
    </w:p>
    <w:p w14:paraId="6781C266" w14:textId="77777777" w:rsidR="005F34BB" w:rsidRPr="00F51B44" w:rsidRDefault="005F34BB" w:rsidP="005F34BB">
      <w:pPr>
        <w:spacing w:before="120" w:after="120" w:line="240" w:lineRule="auto"/>
        <w:jc w:val="both"/>
        <w:rPr>
          <w:rFonts w:ascii="AytoRoquetas Light Condensed" w:hAnsi="AytoRoquetas Light Condensed" w:cs="Times New Roman"/>
          <w:sz w:val="20"/>
          <w:szCs w:val="20"/>
        </w:rPr>
      </w:pPr>
      <w:r w:rsidRPr="00F51B44">
        <w:rPr>
          <w:rFonts w:ascii="AytoRoquetas Light Condensed" w:hAnsi="AytoRoquetas Light Condensed" w:cs="Times New Roman"/>
          <w:sz w:val="20"/>
          <w:szCs w:val="20"/>
        </w:rPr>
        <w:t xml:space="preserve">+ Capítulo 4: Transferencias corrientes </w:t>
      </w:r>
    </w:p>
    <w:p w14:paraId="780BA06A" w14:textId="77777777" w:rsidR="005F34BB" w:rsidRPr="00F51B44" w:rsidRDefault="005F34BB" w:rsidP="005F34BB">
      <w:pPr>
        <w:spacing w:before="120" w:after="120" w:line="240" w:lineRule="auto"/>
        <w:jc w:val="both"/>
        <w:rPr>
          <w:rFonts w:ascii="AytoRoquetas Light Condensed" w:hAnsi="AytoRoquetas Light Condensed" w:cs="Times New Roman"/>
          <w:sz w:val="20"/>
          <w:szCs w:val="20"/>
        </w:rPr>
      </w:pPr>
      <w:r w:rsidRPr="00F51B44">
        <w:rPr>
          <w:rFonts w:ascii="AytoRoquetas Light Condensed" w:hAnsi="AytoRoquetas Light Condensed" w:cs="Times New Roman"/>
          <w:sz w:val="20"/>
          <w:szCs w:val="20"/>
        </w:rPr>
        <w:t>+ Capítulo 6: Inversiones</w:t>
      </w:r>
    </w:p>
    <w:p w14:paraId="7115E8C8" w14:textId="77777777" w:rsidR="005F34BB" w:rsidRPr="00F51B44" w:rsidRDefault="005F34BB" w:rsidP="005F34BB">
      <w:pPr>
        <w:spacing w:before="120" w:after="120" w:line="240" w:lineRule="auto"/>
        <w:jc w:val="both"/>
        <w:rPr>
          <w:rFonts w:ascii="AytoRoquetas Light Condensed" w:hAnsi="AytoRoquetas Light Condensed" w:cs="Times New Roman"/>
          <w:sz w:val="20"/>
          <w:szCs w:val="20"/>
        </w:rPr>
      </w:pPr>
      <w:r w:rsidRPr="00F51B44">
        <w:rPr>
          <w:rFonts w:ascii="AytoRoquetas Light Condensed" w:hAnsi="AytoRoquetas Light Condensed" w:cs="Times New Roman"/>
          <w:sz w:val="20"/>
          <w:szCs w:val="20"/>
        </w:rPr>
        <w:t>+ Capítulo 7: Transferencias de capital</w:t>
      </w:r>
    </w:p>
    <w:p w14:paraId="70903E9C" w14:textId="77777777" w:rsidR="005F34BB" w:rsidRPr="00F51B44" w:rsidRDefault="005F34BB" w:rsidP="005F34BB">
      <w:pPr>
        <w:spacing w:before="120" w:after="120" w:line="240" w:lineRule="auto"/>
        <w:jc w:val="both"/>
        <w:rPr>
          <w:rFonts w:ascii="AytoRoquetas Light Condensed" w:hAnsi="AytoRoquetas Light Condensed" w:cs="Times New Roman"/>
          <w:sz w:val="20"/>
          <w:szCs w:val="20"/>
        </w:rPr>
      </w:pPr>
      <w:r w:rsidRPr="00F51B44">
        <w:rPr>
          <w:rFonts w:ascii="AytoRoquetas Light Condensed" w:hAnsi="AytoRoquetas Light Condensed" w:cs="Times New Roman"/>
          <w:sz w:val="20"/>
          <w:szCs w:val="20"/>
        </w:rPr>
        <w:t>- Gastos financiados con fondos finalistas</w:t>
      </w:r>
    </w:p>
    <w:p w14:paraId="68BECD8C" w14:textId="77777777" w:rsidR="005F34BB" w:rsidRPr="00F51B44" w:rsidRDefault="005F34BB" w:rsidP="005F34BB">
      <w:pPr>
        <w:spacing w:before="120" w:after="120" w:line="240" w:lineRule="auto"/>
        <w:jc w:val="both"/>
        <w:rPr>
          <w:rFonts w:ascii="AytoRoquetas Light Condensed" w:hAnsi="AytoRoquetas Light Condensed" w:cs="Times New Roman"/>
          <w:sz w:val="20"/>
          <w:szCs w:val="20"/>
        </w:rPr>
      </w:pPr>
    </w:p>
    <w:p w14:paraId="0202E10F" w14:textId="77777777" w:rsidR="005F34BB" w:rsidRPr="00F51B44" w:rsidRDefault="005F34BB" w:rsidP="005F34BB">
      <w:pPr>
        <w:spacing w:before="120" w:after="120" w:line="240" w:lineRule="auto"/>
        <w:jc w:val="both"/>
        <w:rPr>
          <w:rFonts w:ascii="AytoRoquetas Light Condensed" w:hAnsi="AytoRoquetas Light Condensed" w:cs="Times New Roman"/>
          <w:sz w:val="20"/>
          <w:szCs w:val="20"/>
        </w:rPr>
      </w:pPr>
      <w:r w:rsidRPr="00F51B44">
        <w:rPr>
          <w:rFonts w:ascii="AytoRoquetas Light Condensed" w:hAnsi="AytoRoquetas Light Condensed" w:cs="Times New Roman"/>
          <w:sz w:val="20"/>
          <w:szCs w:val="20"/>
        </w:rPr>
        <w:t>Debiéndose cumplir con la siguiente ecuación:</w:t>
      </w:r>
    </w:p>
    <w:p w14:paraId="4380B35F" w14:textId="77777777" w:rsidR="005F34BB" w:rsidRPr="00F51B44" w:rsidRDefault="005F34BB" w:rsidP="005F34BB">
      <w:pPr>
        <w:pBdr>
          <w:top w:val="single" w:sz="4" w:space="1" w:color="auto"/>
          <w:left w:val="single" w:sz="4" w:space="4" w:color="auto"/>
          <w:bottom w:val="single" w:sz="4" w:space="1" w:color="auto"/>
          <w:right w:val="single" w:sz="4" w:space="4" w:color="auto"/>
        </w:pBdr>
        <w:spacing w:before="120" w:after="120" w:line="240" w:lineRule="auto"/>
        <w:jc w:val="center"/>
        <w:rPr>
          <w:rFonts w:ascii="AytoRoquetas Light Condensed" w:hAnsi="AytoRoquetas Light Condensed" w:cs="Times New Roman"/>
          <w:b/>
          <w:bCs/>
          <w:sz w:val="20"/>
          <w:szCs w:val="20"/>
        </w:rPr>
      </w:pPr>
      <w:r w:rsidRPr="00F51B44">
        <w:rPr>
          <w:rFonts w:ascii="AytoRoquetas Light Condensed" w:hAnsi="AytoRoquetas Light Condensed" w:cs="Times New Roman"/>
          <w:b/>
          <w:bCs/>
          <w:sz w:val="20"/>
          <w:szCs w:val="20"/>
        </w:rPr>
        <w:t>TASA DE REFERENCIA DEL CRECIMIENTO DEL PIB &gt;= 100 X [(GASTO COMPUTABLE AÑO N / GASTO COMPUTABLE AÑO N-1) – 1]</w:t>
      </w:r>
    </w:p>
    <w:p w14:paraId="28B58BA6" w14:textId="59CFEFC2" w:rsidR="005F34BB" w:rsidRPr="00F51B44" w:rsidRDefault="00514A94" w:rsidP="0061024C">
      <w:pPr>
        <w:spacing w:before="120" w:after="120" w:line="240" w:lineRule="auto"/>
        <w:jc w:val="both"/>
        <w:rPr>
          <w:rFonts w:ascii="AytoRoquetas Light Condensed" w:hAnsi="AytoRoquetas Light Condensed" w:cs="Times New Roman"/>
          <w:sz w:val="20"/>
          <w:szCs w:val="20"/>
        </w:rPr>
      </w:pPr>
      <w:r w:rsidRPr="00F51B44">
        <w:rPr>
          <w:rFonts w:ascii="AytoRoquetas Light Condensed" w:hAnsi="AytoRoquetas Light Condensed" w:cs="Times New Roman"/>
          <w:sz w:val="20"/>
          <w:szCs w:val="20"/>
        </w:rPr>
        <w:t>En el estado de liquidación del presupuesto se han de considerar el importe de las obligaciones reconocidas netas de los ejercicios 202</w:t>
      </w:r>
      <w:r w:rsidR="002C73AA">
        <w:rPr>
          <w:rFonts w:ascii="AytoRoquetas Light Condensed" w:hAnsi="AytoRoquetas Light Condensed" w:cs="Times New Roman"/>
          <w:sz w:val="20"/>
          <w:szCs w:val="20"/>
        </w:rPr>
        <w:t>4</w:t>
      </w:r>
      <w:r w:rsidRPr="00F51B44">
        <w:rPr>
          <w:rFonts w:ascii="AytoRoquetas Light Condensed" w:hAnsi="AytoRoquetas Light Condensed" w:cs="Times New Roman"/>
          <w:sz w:val="20"/>
          <w:szCs w:val="20"/>
        </w:rPr>
        <w:t xml:space="preserve"> y 202</w:t>
      </w:r>
      <w:r w:rsidR="002C73AA">
        <w:rPr>
          <w:rFonts w:ascii="AytoRoquetas Light Condensed" w:hAnsi="AytoRoquetas Light Condensed" w:cs="Times New Roman"/>
          <w:sz w:val="20"/>
          <w:szCs w:val="20"/>
        </w:rPr>
        <w:t>3</w:t>
      </w:r>
      <w:r w:rsidRPr="00F51B44">
        <w:rPr>
          <w:rFonts w:ascii="AytoRoquetas Light Condensed" w:hAnsi="AytoRoquetas Light Condensed" w:cs="Times New Roman"/>
          <w:sz w:val="20"/>
          <w:szCs w:val="20"/>
        </w:rPr>
        <w:t xml:space="preserve">, sin perjuicio de los ajustes </w:t>
      </w:r>
    </w:p>
    <w:p w14:paraId="3ACFDB7A" w14:textId="454626B3" w:rsidR="00FD620C" w:rsidRPr="00F51B44" w:rsidRDefault="001A5773" w:rsidP="0061024C">
      <w:pPr>
        <w:spacing w:before="120" w:after="120" w:line="240" w:lineRule="auto"/>
        <w:jc w:val="both"/>
        <w:rPr>
          <w:rFonts w:ascii="AytoRoquetas Light Condensed" w:hAnsi="AytoRoquetas Light Condensed" w:cs="Times New Roman"/>
          <w:sz w:val="20"/>
          <w:szCs w:val="20"/>
        </w:rPr>
      </w:pPr>
      <w:r w:rsidRPr="001A5773">
        <w:drawing>
          <wp:inline distT="0" distB="0" distL="0" distR="0" wp14:anchorId="7FB677F8" wp14:editId="3C64B183">
            <wp:extent cx="5400040" cy="4979670"/>
            <wp:effectExtent l="0" t="0" r="0" b="0"/>
            <wp:docPr id="130221219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0040" cy="4979670"/>
                    </a:xfrm>
                    <a:prstGeom prst="rect">
                      <a:avLst/>
                    </a:prstGeom>
                    <a:noFill/>
                    <a:ln>
                      <a:noFill/>
                    </a:ln>
                  </pic:spPr>
                </pic:pic>
              </a:graphicData>
            </a:graphic>
          </wp:inline>
        </w:drawing>
      </w:r>
    </w:p>
    <w:p w14:paraId="3F3534F8" w14:textId="77777777" w:rsidR="00F51B44" w:rsidRPr="00F51B44" w:rsidRDefault="00F51B44" w:rsidP="0061024C">
      <w:pPr>
        <w:spacing w:before="120" w:after="120" w:line="240" w:lineRule="auto"/>
        <w:jc w:val="both"/>
        <w:rPr>
          <w:rFonts w:ascii="AytoRoquetas Light Condensed" w:hAnsi="AytoRoquetas Light Condensed" w:cs="Times New Roman"/>
          <w:b/>
          <w:bCs/>
          <w:sz w:val="20"/>
          <w:szCs w:val="20"/>
        </w:rPr>
      </w:pPr>
    </w:p>
    <w:p w14:paraId="1CE08E88" w14:textId="62D874E5" w:rsidR="00F51B44" w:rsidRDefault="001A5773" w:rsidP="0061024C">
      <w:pPr>
        <w:spacing w:before="120" w:after="120" w:line="240" w:lineRule="auto"/>
        <w:jc w:val="both"/>
        <w:rPr>
          <w:rFonts w:ascii="AytoRoquetas Light Condensed" w:hAnsi="AytoRoquetas Light Condensed" w:cs="Times New Roman"/>
          <w:sz w:val="20"/>
          <w:szCs w:val="20"/>
        </w:rPr>
      </w:pPr>
      <w:r>
        <w:rPr>
          <w:rFonts w:ascii="AytoRoquetas Light Condensed" w:hAnsi="AytoRoquetas Light Condensed" w:cs="Times New Roman"/>
          <w:sz w:val="20"/>
          <w:szCs w:val="20"/>
        </w:rPr>
        <w:t xml:space="preserve">Por lo que se concluye que la variación interanual del gasto computable del Consorcio se encuentra dentro de los límites de variación que han sido fijados para el conjunto del Subsector Local. </w:t>
      </w:r>
    </w:p>
    <w:p w14:paraId="72772893" w14:textId="77777777" w:rsidR="001A5773" w:rsidRPr="00F51B44" w:rsidRDefault="001A5773" w:rsidP="0061024C">
      <w:pPr>
        <w:spacing w:before="120" w:after="120" w:line="240" w:lineRule="auto"/>
        <w:jc w:val="both"/>
        <w:rPr>
          <w:rFonts w:ascii="AytoRoquetas Light Condensed" w:hAnsi="AytoRoquetas Light Condensed" w:cs="Times New Roman"/>
          <w:sz w:val="20"/>
          <w:szCs w:val="20"/>
        </w:rPr>
      </w:pPr>
    </w:p>
    <w:p w14:paraId="418F7484" w14:textId="773DE755" w:rsidR="005F34BB" w:rsidRPr="00F51B44" w:rsidRDefault="005F34BB" w:rsidP="0061024C">
      <w:pPr>
        <w:spacing w:before="120" w:after="120" w:line="240" w:lineRule="auto"/>
        <w:jc w:val="both"/>
        <w:rPr>
          <w:rFonts w:ascii="AytoRoquetas Light Condensed" w:hAnsi="AytoRoquetas Light Condensed" w:cs="Times New Roman"/>
          <w:b/>
          <w:bCs/>
          <w:sz w:val="20"/>
          <w:szCs w:val="20"/>
        </w:rPr>
      </w:pPr>
      <w:r w:rsidRPr="00F51B44">
        <w:rPr>
          <w:rFonts w:ascii="AytoRoquetas Light Condensed" w:hAnsi="AytoRoquetas Light Condensed" w:cs="Times New Roman"/>
          <w:b/>
          <w:bCs/>
          <w:sz w:val="20"/>
          <w:szCs w:val="20"/>
        </w:rPr>
        <w:t>QUINTO. - CUMPLIMIENTO OBJETIVO DEUDA PUBLICA</w:t>
      </w:r>
    </w:p>
    <w:p w14:paraId="78EE336E" w14:textId="0E4A52FC" w:rsidR="005F34BB" w:rsidRPr="00F51B44" w:rsidRDefault="005F34BB" w:rsidP="005F34BB">
      <w:pPr>
        <w:jc w:val="both"/>
        <w:rPr>
          <w:rFonts w:ascii="AytoRoquetas Light Condensed" w:hAnsi="AytoRoquetas Light Condensed" w:cs="Times New Roman"/>
          <w:sz w:val="20"/>
          <w:szCs w:val="20"/>
        </w:rPr>
      </w:pPr>
      <w:r w:rsidRPr="00F51B44">
        <w:rPr>
          <w:rFonts w:ascii="AytoRoquetas Light Condensed" w:hAnsi="AytoRoquetas Light Condensed" w:cs="Times New Roman"/>
          <w:sz w:val="20"/>
          <w:szCs w:val="20"/>
        </w:rPr>
        <w:t>El Capital vivo pendiente de amortizar a 31 de diciembre de 202</w:t>
      </w:r>
      <w:r w:rsidR="002C73AA">
        <w:rPr>
          <w:rFonts w:ascii="AytoRoquetas Light Condensed" w:hAnsi="AytoRoquetas Light Condensed" w:cs="Times New Roman"/>
          <w:sz w:val="20"/>
          <w:szCs w:val="20"/>
        </w:rPr>
        <w:t>4</w:t>
      </w:r>
      <w:r w:rsidRPr="00F51B44">
        <w:rPr>
          <w:rFonts w:ascii="AytoRoquetas Light Condensed" w:hAnsi="AytoRoquetas Light Condensed" w:cs="Times New Roman"/>
          <w:sz w:val="20"/>
          <w:szCs w:val="20"/>
        </w:rPr>
        <w:t xml:space="preserve">, por los préstamos concertados y vigentes, según se desprende de los Estados financieros asciende a </w:t>
      </w:r>
      <w:r w:rsidRPr="00F51B44">
        <w:rPr>
          <w:rFonts w:ascii="AytoRoquetas Light Condensed" w:hAnsi="AytoRoquetas Light Condensed" w:cs="Times New Roman"/>
          <w:bCs/>
          <w:sz w:val="20"/>
          <w:szCs w:val="20"/>
        </w:rPr>
        <w:t xml:space="preserve">CERO </w:t>
      </w:r>
      <w:r w:rsidRPr="00F51B44">
        <w:rPr>
          <w:rFonts w:ascii="AytoRoquetas Light Condensed" w:hAnsi="AytoRoquetas Light Condensed" w:cs="Times New Roman"/>
          <w:sz w:val="20"/>
          <w:szCs w:val="20"/>
        </w:rPr>
        <w:t xml:space="preserve">euros, , no superando el límite del 110% de los ingresos corrientes previsto en el artículo 53 del Real Decreto Legislativo 2/2004, de 5 de marzo, por el que se aprueba el Texto Refundido de la Ley Reguladora de las Haciendas Locales, ni supera tampoco el  75% de los ingresos corrientes líquidos o devengados según las cifras deducidas de los estados contables consolidados, y ello en virtud de la disposición adicional </w:t>
      </w:r>
      <w:r w:rsidR="002C7008" w:rsidRPr="00F51B44">
        <w:rPr>
          <w:rFonts w:ascii="AytoRoquetas Light Condensed" w:hAnsi="AytoRoquetas Light Condensed" w:cs="Times New Roman"/>
          <w:sz w:val="20"/>
          <w:szCs w:val="20"/>
        </w:rPr>
        <w:t>décimo</w:t>
      </w:r>
      <w:r w:rsidRPr="00F51B44">
        <w:rPr>
          <w:rFonts w:ascii="AytoRoquetas Light Condensed" w:hAnsi="AytoRoquetas Light Condensed" w:cs="Times New Roman"/>
          <w:sz w:val="20"/>
          <w:szCs w:val="20"/>
        </w:rPr>
        <w:t xml:space="preserve"> cuarta del Real Decreto Ley </w:t>
      </w:r>
      <w:r w:rsidRPr="00F51B44">
        <w:rPr>
          <w:rFonts w:ascii="AytoRoquetas Light Condensed" w:hAnsi="AytoRoquetas Light Condensed" w:cs="Times New Roman"/>
          <w:sz w:val="20"/>
          <w:szCs w:val="20"/>
        </w:rPr>
        <w:lastRenderedPageBreak/>
        <w:t xml:space="preserve">20/2011, de 30 de marzo, de Medidas Urgentes en Materia Presupuestaria, Tributaria y Financiera para la Corrección del Déficit Público, que fue posteriormente dotada de </w:t>
      </w:r>
      <w:r w:rsidRPr="00F51B44">
        <w:rPr>
          <w:rFonts w:ascii="AytoRoquetas Light Condensed" w:hAnsi="AytoRoquetas Light Condensed" w:cs="Times New Roman"/>
          <w:b/>
          <w:bCs/>
          <w:sz w:val="20"/>
          <w:szCs w:val="20"/>
        </w:rPr>
        <w:t>vigencia indefinida</w:t>
      </w:r>
      <w:r w:rsidRPr="00F51B44">
        <w:rPr>
          <w:rFonts w:ascii="AytoRoquetas Light Condensed" w:hAnsi="AytoRoquetas Light Condensed" w:cs="Times New Roman"/>
          <w:sz w:val="20"/>
          <w:szCs w:val="20"/>
        </w:rPr>
        <w:t xml:space="preserve"> por la disposición final trigésima primera de la Ley 17/2012, de 27 de diciembre, de Presupuestos Generales del Estado para el año 2013.</w:t>
      </w:r>
    </w:p>
    <w:p w14:paraId="6537F826" w14:textId="77777777" w:rsidR="005F34BB" w:rsidRDefault="005F34BB" w:rsidP="005F34BB">
      <w:pPr>
        <w:jc w:val="both"/>
        <w:rPr>
          <w:rFonts w:ascii="AytoRoquetas Light Condensed" w:hAnsi="AytoRoquetas Light Condensed" w:cs="Times New Roman"/>
          <w:b/>
          <w:bCs/>
          <w:sz w:val="20"/>
          <w:szCs w:val="20"/>
        </w:rPr>
      </w:pPr>
      <w:r w:rsidRPr="00F51B44">
        <w:rPr>
          <w:rFonts w:ascii="AytoRoquetas Light Condensed" w:hAnsi="AytoRoquetas Light Condensed" w:cs="Times New Roman"/>
          <w:sz w:val="20"/>
          <w:szCs w:val="20"/>
        </w:rPr>
        <w:t xml:space="preserve">A la fecha de realización del presente informe </w:t>
      </w:r>
      <w:r w:rsidRPr="00F51B44">
        <w:rPr>
          <w:rFonts w:ascii="AytoRoquetas Light Condensed" w:hAnsi="AytoRoquetas Light Condensed" w:cs="Times New Roman"/>
          <w:b/>
          <w:bCs/>
          <w:sz w:val="20"/>
          <w:szCs w:val="20"/>
        </w:rPr>
        <w:t>el Consorcio no tiene concertada ninguna operación de endeudamiento ni a corto ni a largo plazo, siendo obvio que se cumple el objetivo de deuda pública establecido.</w:t>
      </w:r>
    </w:p>
    <w:p w14:paraId="008709EE" w14:textId="5C2026F3" w:rsidR="001A5773" w:rsidRDefault="001A5773" w:rsidP="005F34BB">
      <w:pPr>
        <w:jc w:val="both"/>
        <w:rPr>
          <w:rFonts w:ascii="AytoRoquetas Light Condensed" w:hAnsi="AytoRoquetas Light Condensed" w:cs="Times New Roman"/>
          <w:b/>
          <w:bCs/>
          <w:sz w:val="20"/>
          <w:szCs w:val="20"/>
        </w:rPr>
      </w:pPr>
      <w:r>
        <w:rPr>
          <w:rFonts w:ascii="AytoRoquetas Light Condensed" w:hAnsi="AytoRoquetas Light Condensed" w:cs="Times New Roman"/>
          <w:b/>
          <w:bCs/>
          <w:sz w:val="20"/>
          <w:szCs w:val="20"/>
        </w:rPr>
        <w:t>CONCLUSION</w:t>
      </w:r>
    </w:p>
    <w:p w14:paraId="00AE134A" w14:textId="212FAA1A" w:rsidR="005F34BB" w:rsidRPr="00F51B44" w:rsidRDefault="001A5773" w:rsidP="001A5773">
      <w:pPr>
        <w:jc w:val="both"/>
        <w:rPr>
          <w:rFonts w:ascii="AytoRoquetas Light Condensed" w:hAnsi="AytoRoquetas Light Condensed" w:cs="Times New Roman"/>
          <w:sz w:val="20"/>
          <w:szCs w:val="20"/>
        </w:rPr>
      </w:pPr>
      <w:r w:rsidRPr="001A5773">
        <w:rPr>
          <w:rFonts w:ascii="AytoRoquetas Light Condensed" w:hAnsi="AytoRoquetas Light Condensed" w:cs="Times New Roman"/>
          <w:sz w:val="20"/>
          <w:szCs w:val="20"/>
        </w:rPr>
        <w:t xml:space="preserve">Por cuanto antecede se ha de concluir que los datos de la liquidación presupuestaria del Consorcio para le ciclo Integral del Agua del poniente ponen de manifiesto el cumplimiento </w:t>
      </w:r>
      <w:r w:rsidR="005F34BB" w:rsidRPr="001A5773">
        <w:rPr>
          <w:rFonts w:ascii="AytoRoquetas Light Condensed" w:hAnsi="AytoRoquetas Light Condensed" w:cs="Times New Roman"/>
          <w:sz w:val="20"/>
          <w:szCs w:val="20"/>
        </w:rPr>
        <w:t>d</w:t>
      </w:r>
      <w:r w:rsidR="005F34BB" w:rsidRPr="00F51B44">
        <w:rPr>
          <w:rFonts w:ascii="AytoRoquetas Light Condensed" w:hAnsi="AytoRoquetas Light Condensed" w:cs="Times New Roman"/>
          <w:sz w:val="20"/>
          <w:szCs w:val="20"/>
        </w:rPr>
        <w:t xml:space="preserve">e estabilidad presupuestaria entendido como la situación de equilibrio o superávit en términos de capacidad de financiación de acuerdo con la definición contenida en el SEC 2010, </w:t>
      </w:r>
      <w:r>
        <w:rPr>
          <w:rFonts w:ascii="AytoRoquetas Light Condensed" w:hAnsi="AytoRoquetas Light Condensed" w:cs="Times New Roman"/>
          <w:sz w:val="20"/>
          <w:szCs w:val="20"/>
        </w:rPr>
        <w:t xml:space="preserve">variación interanual de la regla de gasto para el subsector local así como el </w:t>
      </w:r>
      <w:r w:rsidRPr="00F51B44">
        <w:rPr>
          <w:rFonts w:ascii="AytoRoquetas Light Condensed" w:hAnsi="AytoRoquetas Light Condensed" w:cs="Times New Roman"/>
          <w:sz w:val="20"/>
          <w:szCs w:val="20"/>
        </w:rPr>
        <w:t>objetivo</w:t>
      </w:r>
      <w:r w:rsidR="005F34BB" w:rsidRPr="00F51B44">
        <w:rPr>
          <w:rFonts w:ascii="AytoRoquetas Light Condensed" w:hAnsi="AytoRoquetas Light Condensed" w:cs="Times New Roman"/>
          <w:sz w:val="20"/>
          <w:szCs w:val="20"/>
        </w:rPr>
        <w:t xml:space="preserve"> de límite de endeudamiento.</w:t>
      </w:r>
    </w:p>
    <w:p w14:paraId="729FE3BA" w14:textId="77777777" w:rsidR="005F34BB" w:rsidRPr="00F51B44" w:rsidRDefault="005F34BB" w:rsidP="0061024C">
      <w:pPr>
        <w:spacing w:before="120" w:after="120" w:line="240" w:lineRule="auto"/>
        <w:jc w:val="both"/>
        <w:rPr>
          <w:rFonts w:ascii="AytoRoquetas Light Condensed" w:hAnsi="AytoRoquetas Light Condensed" w:cs="Times New Roman"/>
          <w:sz w:val="20"/>
          <w:szCs w:val="20"/>
        </w:rPr>
      </w:pPr>
    </w:p>
    <w:p w14:paraId="34F91C34" w14:textId="7F51CB1F" w:rsidR="0061024C" w:rsidRPr="00F51B44" w:rsidRDefault="0061024C" w:rsidP="0061024C">
      <w:pPr>
        <w:spacing w:before="120" w:after="120" w:line="240" w:lineRule="auto"/>
        <w:jc w:val="both"/>
        <w:rPr>
          <w:rFonts w:ascii="AytoRoquetas Light Condensed" w:eastAsia="Times New Roman" w:hAnsi="AytoRoquetas Light Condensed" w:cstheme="minorHAnsi"/>
          <w:sz w:val="20"/>
          <w:szCs w:val="20"/>
        </w:rPr>
      </w:pPr>
      <w:r w:rsidRPr="00F51B44">
        <w:rPr>
          <w:rFonts w:ascii="AytoRoquetas Light Condensed" w:eastAsia="Times New Roman" w:hAnsi="AytoRoquetas Light Condensed" w:cstheme="minorHAnsi"/>
          <w:sz w:val="20"/>
          <w:szCs w:val="20"/>
        </w:rPr>
        <w:t xml:space="preserve">Es todo cuanto se tiene el honor de informar, </w:t>
      </w:r>
      <w:r w:rsidR="002C7008" w:rsidRPr="00F51B44">
        <w:rPr>
          <w:rFonts w:ascii="AytoRoquetas Light Condensed" w:eastAsia="Times New Roman" w:hAnsi="AytoRoquetas Light Condensed" w:cstheme="minorHAnsi"/>
          <w:sz w:val="20"/>
          <w:szCs w:val="20"/>
        </w:rPr>
        <w:t>en Roquetas de Mar a la fecha de firma de la diligencia que obra al pie del presente</w:t>
      </w:r>
    </w:p>
    <w:p w14:paraId="53A941CE" w14:textId="3DEAFFE7" w:rsidR="00942F35" w:rsidRPr="00F51B44" w:rsidRDefault="002C7008" w:rsidP="002C7008">
      <w:pPr>
        <w:jc w:val="center"/>
        <w:rPr>
          <w:rFonts w:ascii="AytoRoquetas Light Condensed" w:eastAsia="Times New Roman" w:hAnsi="AytoRoquetas Light Condensed" w:cstheme="minorHAnsi"/>
          <w:sz w:val="20"/>
          <w:szCs w:val="20"/>
        </w:rPr>
      </w:pPr>
      <w:r w:rsidRPr="00F51B44">
        <w:rPr>
          <w:rFonts w:ascii="AytoRoquetas Light Condensed" w:eastAsia="Times New Roman" w:hAnsi="AytoRoquetas Light Condensed" w:cstheme="minorHAnsi"/>
          <w:sz w:val="20"/>
          <w:szCs w:val="20"/>
        </w:rPr>
        <w:t>LA INTERVENTORA</w:t>
      </w:r>
    </w:p>
    <w:p w14:paraId="7B681249" w14:textId="46DF4C95" w:rsidR="002C7008" w:rsidRPr="00F51B44" w:rsidRDefault="002C7008" w:rsidP="002C7008">
      <w:pPr>
        <w:jc w:val="center"/>
        <w:rPr>
          <w:rFonts w:ascii="AytoRoquetas Light Condensed" w:hAnsi="AytoRoquetas Light Condensed"/>
          <w:sz w:val="20"/>
          <w:szCs w:val="20"/>
        </w:rPr>
      </w:pPr>
      <w:r w:rsidRPr="00F51B44">
        <w:rPr>
          <w:rFonts w:ascii="AytoRoquetas Light Condensed" w:eastAsia="Times New Roman" w:hAnsi="AytoRoquetas Light Condensed" w:cstheme="minorHAnsi"/>
          <w:sz w:val="20"/>
          <w:szCs w:val="20"/>
        </w:rPr>
        <w:t>Fdo. Dolores del Pilar Gonzalez Espinosa</w:t>
      </w:r>
    </w:p>
    <w:sectPr w:rsidR="002C7008" w:rsidRPr="00F51B44">
      <w:head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DE1AD" w14:textId="77777777" w:rsidR="0061024C" w:rsidRDefault="0061024C" w:rsidP="0061024C">
      <w:pPr>
        <w:spacing w:after="0" w:line="240" w:lineRule="auto"/>
      </w:pPr>
      <w:r>
        <w:separator/>
      </w:r>
    </w:p>
  </w:endnote>
  <w:endnote w:type="continuationSeparator" w:id="0">
    <w:p w14:paraId="15467A3F" w14:textId="77777777" w:rsidR="0061024C" w:rsidRDefault="0061024C" w:rsidP="006102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ytoRoquetas Light Condensed">
    <w:altName w:val="Calibri"/>
    <w:panose1 w:val="020B0406020504020204"/>
    <w:charset w:val="00"/>
    <w:family w:val="swiss"/>
    <w:pitch w:val="variable"/>
    <w:sig w:usb0="00000007" w:usb1="00000000" w:usb2="00000000" w:usb3="00000000" w:csb0="0000001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FFF0D" w14:textId="77777777" w:rsidR="0061024C" w:rsidRDefault="0061024C" w:rsidP="0061024C">
      <w:pPr>
        <w:spacing w:after="0" w:line="240" w:lineRule="auto"/>
      </w:pPr>
      <w:r>
        <w:separator/>
      </w:r>
    </w:p>
  </w:footnote>
  <w:footnote w:type="continuationSeparator" w:id="0">
    <w:p w14:paraId="6176C4DA" w14:textId="77777777" w:rsidR="0061024C" w:rsidRDefault="0061024C" w:rsidP="006102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C4CD1" w14:textId="0F6B6FA1" w:rsidR="0061024C" w:rsidRDefault="00942F35">
    <w:pPr>
      <w:pStyle w:val="Encabezado"/>
    </w:pPr>
    <w:r w:rsidRPr="0026510F">
      <w:rPr>
        <w:noProof/>
      </w:rPr>
      <w:drawing>
        <wp:inline distT="0" distB="0" distL="0" distR="0" wp14:anchorId="27A624CB" wp14:editId="2BDE4728">
          <wp:extent cx="1820545" cy="779145"/>
          <wp:effectExtent l="0" t="0" r="8255" b="1905"/>
          <wp:docPr id="21048143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11372" t="36165" r="15128" b="25761"/>
                  <a:stretch>
                    <a:fillRect/>
                  </a:stretch>
                </pic:blipFill>
                <pic:spPr bwMode="auto">
                  <a:xfrm>
                    <a:off x="0" y="0"/>
                    <a:ext cx="1820545" cy="7791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7660F4"/>
    <w:multiLevelType w:val="multilevel"/>
    <w:tmpl w:val="7996E7C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832571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24C"/>
    <w:rsid w:val="00001F23"/>
    <w:rsid w:val="00114CB7"/>
    <w:rsid w:val="001A5773"/>
    <w:rsid w:val="001D7D40"/>
    <w:rsid w:val="002B25E2"/>
    <w:rsid w:val="002C7008"/>
    <w:rsid w:val="002C73AA"/>
    <w:rsid w:val="002D135D"/>
    <w:rsid w:val="003B6393"/>
    <w:rsid w:val="004301EF"/>
    <w:rsid w:val="00442937"/>
    <w:rsid w:val="004C375C"/>
    <w:rsid w:val="00514A94"/>
    <w:rsid w:val="005C13AA"/>
    <w:rsid w:val="005F34BB"/>
    <w:rsid w:val="0061024C"/>
    <w:rsid w:val="0068201C"/>
    <w:rsid w:val="00942F35"/>
    <w:rsid w:val="00A7149B"/>
    <w:rsid w:val="00B228F1"/>
    <w:rsid w:val="00CA1995"/>
    <w:rsid w:val="00D1082A"/>
    <w:rsid w:val="00D97985"/>
    <w:rsid w:val="00DB61DB"/>
    <w:rsid w:val="00E2583F"/>
    <w:rsid w:val="00F51B44"/>
    <w:rsid w:val="00FD620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D3C16"/>
  <w15:chartTrackingRefBased/>
  <w15:docId w15:val="{E0BBAD07-EC58-41F2-AE5F-E376C03D0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24C"/>
    <w:pPr>
      <w:spacing w:after="200" w:line="276" w:lineRule="auto"/>
    </w:pPr>
    <w:rPr>
      <w:rFonts w:eastAsiaTheme="minorEastAsia"/>
      <w:lang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semiHidden/>
    <w:rsid w:val="0061024C"/>
    <w:pPr>
      <w:spacing w:after="0" w:line="360" w:lineRule="auto"/>
      <w:ind w:left="528" w:right="71" w:firstLine="600"/>
      <w:jc w:val="both"/>
    </w:pPr>
    <w:rPr>
      <w:rFonts w:ascii="Verdana" w:eastAsia="Times New Roman" w:hAnsi="Verdana" w:cs="Arial"/>
      <w:sz w:val="20"/>
      <w:szCs w:val="24"/>
    </w:rPr>
  </w:style>
  <w:style w:type="paragraph" w:styleId="Encabezado">
    <w:name w:val="header"/>
    <w:basedOn w:val="Normal"/>
    <w:link w:val="EncabezadoCar"/>
    <w:unhideWhenUsed/>
    <w:rsid w:val="0061024C"/>
    <w:pPr>
      <w:tabs>
        <w:tab w:val="center" w:pos="4252"/>
        <w:tab w:val="right" w:pos="8504"/>
      </w:tabs>
      <w:spacing w:after="0" w:line="240" w:lineRule="auto"/>
    </w:pPr>
  </w:style>
  <w:style w:type="character" w:customStyle="1" w:styleId="EncabezadoCar">
    <w:name w:val="Encabezado Car"/>
    <w:basedOn w:val="Fuentedeprrafopredeter"/>
    <w:link w:val="Encabezado"/>
    <w:rsid w:val="0061024C"/>
    <w:rPr>
      <w:rFonts w:eastAsiaTheme="minorEastAsia"/>
      <w:lang w:eastAsia="es-ES"/>
    </w:rPr>
  </w:style>
  <w:style w:type="paragraph" w:styleId="Piedepgina">
    <w:name w:val="footer"/>
    <w:basedOn w:val="Normal"/>
    <w:link w:val="PiedepginaCar"/>
    <w:uiPriority w:val="99"/>
    <w:unhideWhenUsed/>
    <w:rsid w:val="0061024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1024C"/>
    <w:rPr>
      <w:rFonts w:eastAsiaTheme="minorEastAsia"/>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004578">
      <w:bodyDiv w:val="1"/>
      <w:marLeft w:val="0"/>
      <w:marRight w:val="0"/>
      <w:marTop w:val="0"/>
      <w:marBottom w:val="0"/>
      <w:divBdr>
        <w:top w:val="none" w:sz="0" w:space="0" w:color="auto"/>
        <w:left w:val="none" w:sz="0" w:space="0" w:color="auto"/>
        <w:bottom w:val="none" w:sz="0" w:space="0" w:color="auto"/>
        <w:right w:val="none" w:sz="0" w:space="0" w:color="auto"/>
      </w:divBdr>
    </w:div>
    <w:div w:id="822038872">
      <w:bodyDiv w:val="1"/>
      <w:marLeft w:val="0"/>
      <w:marRight w:val="0"/>
      <w:marTop w:val="0"/>
      <w:marBottom w:val="0"/>
      <w:divBdr>
        <w:top w:val="none" w:sz="0" w:space="0" w:color="auto"/>
        <w:left w:val="none" w:sz="0" w:space="0" w:color="auto"/>
        <w:bottom w:val="none" w:sz="0" w:space="0" w:color="auto"/>
        <w:right w:val="none" w:sz="0" w:space="0" w:color="auto"/>
      </w:divBdr>
    </w:div>
    <w:div w:id="1398625942">
      <w:bodyDiv w:val="1"/>
      <w:marLeft w:val="0"/>
      <w:marRight w:val="0"/>
      <w:marTop w:val="0"/>
      <w:marBottom w:val="0"/>
      <w:divBdr>
        <w:top w:val="none" w:sz="0" w:space="0" w:color="auto"/>
        <w:left w:val="none" w:sz="0" w:space="0" w:color="auto"/>
        <w:bottom w:val="none" w:sz="0" w:space="0" w:color="auto"/>
        <w:right w:val="none" w:sz="0" w:space="0" w:color="auto"/>
      </w:divBdr>
    </w:div>
    <w:div w:id="1689674524">
      <w:bodyDiv w:val="1"/>
      <w:marLeft w:val="0"/>
      <w:marRight w:val="0"/>
      <w:marTop w:val="0"/>
      <w:marBottom w:val="0"/>
      <w:divBdr>
        <w:top w:val="none" w:sz="0" w:space="0" w:color="auto"/>
        <w:left w:val="none" w:sz="0" w:space="0" w:color="auto"/>
        <w:bottom w:val="none" w:sz="0" w:space="0" w:color="auto"/>
        <w:right w:val="none" w:sz="0" w:space="0" w:color="auto"/>
      </w:divBdr>
    </w:div>
    <w:div w:id="1708676845">
      <w:bodyDiv w:val="1"/>
      <w:marLeft w:val="0"/>
      <w:marRight w:val="0"/>
      <w:marTop w:val="0"/>
      <w:marBottom w:val="0"/>
      <w:divBdr>
        <w:top w:val="none" w:sz="0" w:space="0" w:color="auto"/>
        <w:left w:val="none" w:sz="0" w:space="0" w:color="auto"/>
        <w:bottom w:val="none" w:sz="0" w:space="0" w:color="auto"/>
        <w:right w:val="none" w:sz="0" w:space="0" w:color="auto"/>
      </w:divBdr>
    </w:div>
    <w:div w:id="1744983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224</TotalTime>
  <Pages>9</Pages>
  <Words>3099</Words>
  <Characters>17049</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Pilar González Espinosa</dc:creator>
  <cp:keywords/>
  <dc:description/>
  <cp:lastModifiedBy>Pilar González Espinosa</cp:lastModifiedBy>
  <cp:revision>3</cp:revision>
  <dcterms:created xsi:type="dcterms:W3CDTF">2025-02-12T10:24:00Z</dcterms:created>
  <dcterms:modified xsi:type="dcterms:W3CDTF">2025-02-12T12:56:00Z</dcterms:modified>
</cp:coreProperties>
</file>