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recurso de reposición frente a la resolución del S. Presidente del Consorcio de 27 de diciembre de 2024 sobre la liquidación del canon correspondiente al 5% de los gastos anuales de explotación del ejercicio 2023.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presentado el recurso de reposición adjunto y se acuerde conforme a lo solicitado en el cuerpo del escrito.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