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recurso de reposición frente a la resolución del S. Presidente del Consorcio de 27 de diciembre de 2024 sobre la liquidación correspondiente a la diferencia entre la tasa vigente y el coste unitario del servicio (cuota fija y variable), ejercicio 2023.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Tenga por presentado el recurso de reposición adjunto y se acuerdo conforme a lo solicitado en el mismo.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