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solicita la corrección y la compensación de la liquidación del Canon del ejercicio 2023.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solicita la corrección y la compensación de la liquidación del Canon del ejercicio 2023.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