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ADA9C" w14:textId="4E1B36E3" w:rsidR="00034A04" w:rsidRDefault="0092485A">
      <w:pPr>
        <w:rPr>
          <w:noProof/>
        </w:rPr>
      </w:pPr>
      <w:r w:rsidRPr="008648F2">
        <w:rPr>
          <w:noProof/>
        </w:rPr>
        <w:drawing>
          <wp:inline distT="0" distB="0" distL="0" distR="0" wp14:anchorId="05157C75" wp14:editId="24544DC0">
            <wp:extent cx="2080260" cy="8458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0260" cy="845820"/>
                    </a:xfrm>
                    <a:prstGeom prst="rect">
                      <a:avLst/>
                    </a:prstGeom>
                    <a:noFill/>
                    <a:ln>
                      <a:noFill/>
                    </a:ln>
                  </pic:spPr>
                </pic:pic>
              </a:graphicData>
            </a:graphic>
          </wp:inline>
        </w:drawing>
      </w:r>
    </w:p>
    <w:p w14:paraId="22F935FD" w14:textId="77777777" w:rsidR="0092485A" w:rsidRDefault="0092485A" w:rsidP="0092485A">
      <w:pPr>
        <w:rPr>
          <w:noProof/>
        </w:rPr>
      </w:pPr>
    </w:p>
    <w:p w14:paraId="014495A6" w14:textId="58AD4F38" w:rsidR="0092485A" w:rsidRPr="008648F2" w:rsidRDefault="0092485A" w:rsidP="0092485A">
      <w:pPr>
        <w:rPr>
          <w:rFonts w:ascii="AytoRoquetas Light Condensed" w:hAnsi="AytoRoquetas Light Condensed"/>
          <w:b/>
          <w:bCs/>
        </w:rPr>
      </w:pPr>
      <w:r w:rsidRPr="008648F2">
        <w:rPr>
          <w:rFonts w:ascii="AytoRoquetas Light Condensed" w:hAnsi="AytoRoquetas Light Condensed"/>
          <w:b/>
          <w:bCs/>
        </w:rPr>
        <w:t>EXP: 202</w:t>
      </w:r>
      <w:r>
        <w:rPr>
          <w:rFonts w:ascii="AytoRoquetas Light Condensed" w:hAnsi="AytoRoquetas Light Condensed"/>
          <w:b/>
          <w:bCs/>
        </w:rPr>
        <w:t>5</w:t>
      </w:r>
      <w:r w:rsidRPr="008648F2">
        <w:rPr>
          <w:rFonts w:ascii="AytoRoquetas Light Condensed" w:hAnsi="AytoRoquetas Light Condensed"/>
          <w:b/>
          <w:bCs/>
        </w:rPr>
        <w:t>/</w:t>
      </w:r>
      <w:r>
        <w:rPr>
          <w:rFonts w:ascii="AytoRoquetas Light Condensed" w:hAnsi="AytoRoquetas Light Condensed"/>
          <w:b/>
          <w:bCs/>
        </w:rPr>
        <w:t>25</w:t>
      </w:r>
    </w:p>
    <w:p w14:paraId="3BB147C8" w14:textId="77777777" w:rsidR="0092485A" w:rsidRDefault="0092485A" w:rsidP="0092485A">
      <w:pPr>
        <w:jc w:val="center"/>
        <w:rPr>
          <w:rFonts w:ascii="AytoRoquetas Light Condensed" w:hAnsi="AytoRoquetas Light Condensed" w:cs="Arial"/>
          <w:b/>
          <w:lang w:val="es-ES_tradnl"/>
        </w:rPr>
      </w:pPr>
      <w:r w:rsidRPr="00B26AF8">
        <w:rPr>
          <w:rFonts w:ascii="AytoRoquetas Light Condensed" w:hAnsi="AytoRoquetas Light Condensed" w:cs="Arial"/>
          <w:b/>
          <w:lang w:val="es-ES_tradnl"/>
        </w:rPr>
        <w:t>INFORME DE OMISIÓN DE LA FUNCIÓN INTERVENTORA</w:t>
      </w:r>
    </w:p>
    <w:p w14:paraId="0D73BF49" w14:textId="77777777" w:rsidR="002146A4" w:rsidRDefault="002146A4" w:rsidP="0092485A">
      <w:pPr>
        <w:jc w:val="both"/>
        <w:rPr>
          <w:rFonts w:ascii="AytoRoquetas Light Condensed" w:hAnsi="AytoRoquetas Light Condensed" w:cs="Arial"/>
          <w:b/>
          <w:lang w:val="es-ES_tradnl"/>
        </w:rPr>
      </w:pPr>
    </w:p>
    <w:p w14:paraId="29D7EF47" w14:textId="75E5D6F1" w:rsidR="0092485A" w:rsidRPr="00152661" w:rsidRDefault="0092485A" w:rsidP="0092485A">
      <w:pPr>
        <w:jc w:val="both"/>
        <w:rPr>
          <w:rFonts w:ascii="AytoRoquetas Light Condensed" w:hAnsi="AytoRoquetas Light Condensed" w:cs="Arial"/>
          <w:b/>
          <w:lang w:val="es-ES_tradnl"/>
        </w:rPr>
      </w:pPr>
      <w:r w:rsidRPr="00152661">
        <w:rPr>
          <w:rFonts w:ascii="AytoRoquetas Light Condensed" w:hAnsi="AytoRoquetas Light Condensed" w:cs="Arial"/>
          <w:b/>
          <w:lang w:val="es-ES_tradnl"/>
        </w:rPr>
        <w:t>ANTECEDENTES ADMINISTRATIVOS:</w:t>
      </w:r>
    </w:p>
    <w:p w14:paraId="052814D0" w14:textId="05E6F83D" w:rsidR="0092485A" w:rsidRDefault="008B512D"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PRIMERO. -</w:t>
      </w:r>
      <w:r w:rsidR="0092485A" w:rsidRPr="00152661">
        <w:rPr>
          <w:rFonts w:ascii="AytoRoquetas Light Condensed" w:hAnsi="AytoRoquetas Light Condensed" w:cs="Arial"/>
          <w:bCs/>
          <w:lang w:val="es-ES_tradnl"/>
        </w:rPr>
        <w:t>Se ha presentado ante esta Intervención para la intervención previa del</w:t>
      </w:r>
      <w:r w:rsidR="0092485A">
        <w:rPr>
          <w:rFonts w:ascii="AytoRoquetas Light Condensed" w:hAnsi="AytoRoquetas Light Condensed" w:cs="Arial"/>
          <w:bCs/>
          <w:lang w:val="es-ES_tradnl"/>
        </w:rPr>
        <w:t xml:space="preserve"> </w:t>
      </w:r>
      <w:r w:rsidR="0092485A" w:rsidRPr="00BE068A">
        <w:rPr>
          <w:rFonts w:ascii="AytoRoquetas Light Condensed" w:hAnsi="AytoRoquetas Light Condensed" w:cs="Arial"/>
          <w:b/>
          <w:lang w:val="es-ES_tradnl"/>
        </w:rPr>
        <w:t>reconocimiento de la obligación</w:t>
      </w:r>
      <w:r w:rsidR="0092485A" w:rsidRPr="00152661">
        <w:rPr>
          <w:rFonts w:ascii="AytoRoquetas Light Condensed" w:hAnsi="AytoRoquetas Light Condensed" w:cs="Arial"/>
          <w:bCs/>
          <w:lang w:val="es-ES_tradnl"/>
        </w:rPr>
        <w:t xml:space="preserve"> de la factura que se indican, en que no existen los</w:t>
      </w:r>
      <w:r w:rsidR="0092485A">
        <w:rPr>
          <w:rFonts w:ascii="AytoRoquetas Light Condensed" w:hAnsi="AytoRoquetas Light Condensed" w:cs="Arial"/>
          <w:bCs/>
          <w:lang w:val="es-ES_tradnl"/>
        </w:rPr>
        <w:t xml:space="preserve"> </w:t>
      </w:r>
      <w:r w:rsidR="0092485A" w:rsidRPr="00152661">
        <w:rPr>
          <w:rFonts w:ascii="AytoRoquetas Light Condensed" w:hAnsi="AytoRoquetas Light Condensed" w:cs="Arial"/>
          <w:bCs/>
          <w:lang w:val="es-ES_tradnl"/>
        </w:rPr>
        <w:t>actos previos de fiscalización de la autorización y el compromiso del gasto</w:t>
      </w:r>
      <w:r w:rsidR="0092485A">
        <w:rPr>
          <w:rFonts w:ascii="AytoRoquetas Light Condensed" w:hAnsi="AytoRoquetas Light Condensed" w:cs="Arial"/>
          <w:bCs/>
          <w:lang w:val="es-ES_tradnl"/>
        </w:rPr>
        <w:t>:</w:t>
      </w:r>
    </w:p>
    <w:tbl>
      <w:tblPr>
        <w:tblStyle w:val="Tablaconcuadrcula"/>
        <w:tblW w:w="0" w:type="auto"/>
        <w:tblLook w:val="04A0" w:firstRow="1" w:lastRow="0" w:firstColumn="1" w:lastColumn="0" w:noHBand="0" w:noVBand="1"/>
      </w:tblPr>
      <w:tblGrid>
        <w:gridCol w:w="2123"/>
        <w:gridCol w:w="2123"/>
        <w:gridCol w:w="2124"/>
        <w:gridCol w:w="2124"/>
      </w:tblGrid>
      <w:tr w:rsidR="0092485A" w14:paraId="0C726B0C" w14:textId="77777777" w:rsidTr="0092485A">
        <w:tc>
          <w:tcPr>
            <w:tcW w:w="2123" w:type="dxa"/>
          </w:tcPr>
          <w:p w14:paraId="1E094D59" w14:textId="0838B869"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 xml:space="preserve">N Entrada </w:t>
            </w:r>
          </w:p>
        </w:tc>
        <w:tc>
          <w:tcPr>
            <w:tcW w:w="2123" w:type="dxa"/>
          </w:tcPr>
          <w:p w14:paraId="7AC86ABA" w14:textId="77777777"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Razón Social.</w:t>
            </w:r>
          </w:p>
          <w:p w14:paraId="65E91DEE" w14:textId="39B61E42" w:rsidR="008B512D"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Texto Explicativo</w:t>
            </w:r>
          </w:p>
        </w:tc>
        <w:tc>
          <w:tcPr>
            <w:tcW w:w="2124" w:type="dxa"/>
          </w:tcPr>
          <w:p w14:paraId="77054D17" w14:textId="77777777"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Aplicación Presupuestaria</w:t>
            </w:r>
          </w:p>
          <w:p w14:paraId="3B2E220E" w14:textId="352074B5" w:rsidR="008B512D" w:rsidRDefault="008B512D" w:rsidP="0092485A">
            <w:pPr>
              <w:jc w:val="both"/>
              <w:rPr>
                <w:rFonts w:ascii="AytoRoquetas Light Condensed" w:hAnsi="AytoRoquetas Light Condensed" w:cs="Arial"/>
                <w:bCs/>
                <w:lang w:val="es-ES_tradnl"/>
              </w:rPr>
            </w:pPr>
          </w:p>
        </w:tc>
        <w:tc>
          <w:tcPr>
            <w:tcW w:w="2124" w:type="dxa"/>
          </w:tcPr>
          <w:p w14:paraId="73DD50D2" w14:textId="4DABD87E"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Importe (€)</w:t>
            </w:r>
          </w:p>
        </w:tc>
      </w:tr>
      <w:tr w:rsidR="0092485A" w14:paraId="2B89D229" w14:textId="77777777" w:rsidTr="0092485A">
        <w:tc>
          <w:tcPr>
            <w:tcW w:w="2123" w:type="dxa"/>
          </w:tcPr>
          <w:p w14:paraId="1C816E6C" w14:textId="770099F5"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F/2024/27</w:t>
            </w:r>
          </w:p>
        </w:tc>
        <w:tc>
          <w:tcPr>
            <w:tcW w:w="2123" w:type="dxa"/>
          </w:tcPr>
          <w:p w14:paraId="2D4CE9D7" w14:textId="426B0E9F"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Técnica y Proyectos SA</w:t>
            </w:r>
          </w:p>
          <w:p w14:paraId="7B7B5EB4" w14:textId="77777777" w:rsidR="008B512D"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Asistencia Técnica para la Realización de Análisis Aguas Residuales Sep. 2024.</w:t>
            </w:r>
          </w:p>
          <w:p w14:paraId="2C75EE84" w14:textId="6FB7AA4B" w:rsidR="008B512D"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Certificación 84</w:t>
            </w:r>
          </w:p>
        </w:tc>
        <w:tc>
          <w:tcPr>
            <w:tcW w:w="2124" w:type="dxa"/>
          </w:tcPr>
          <w:p w14:paraId="434C0A28" w14:textId="1731C0C8"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2025 161 22706</w:t>
            </w:r>
          </w:p>
        </w:tc>
        <w:tc>
          <w:tcPr>
            <w:tcW w:w="2124" w:type="dxa"/>
          </w:tcPr>
          <w:p w14:paraId="572E6FF4" w14:textId="3E5809B1" w:rsidR="0092485A" w:rsidRDefault="008B512D"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11.181,61</w:t>
            </w:r>
          </w:p>
        </w:tc>
      </w:tr>
      <w:tr w:rsidR="008B512D" w14:paraId="65E0D60D" w14:textId="77777777" w:rsidTr="0092485A">
        <w:tc>
          <w:tcPr>
            <w:tcW w:w="2123" w:type="dxa"/>
          </w:tcPr>
          <w:p w14:paraId="615045A9" w14:textId="11DE24D2"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F/2024/2</w:t>
            </w:r>
            <w:r w:rsidR="00815405">
              <w:rPr>
                <w:rFonts w:ascii="AytoRoquetas Light Condensed" w:hAnsi="AytoRoquetas Light Condensed" w:cs="Arial"/>
                <w:bCs/>
                <w:lang w:val="es-ES_tradnl"/>
              </w:rPr>
              <w:t>8</w:t>
            </w:r>
          </w:p>
        </w:tc>
        <w:tc>
          <w:tcPr>
            <w:tcW w:w="2123" w:type="dxa"/>
          </w:tcPr>
          <w:p w14:paraId="38E03A0B" w14:textId="77777777"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Técnica y Proyectos SA</w:t>
            </w:r>
          </w:p>
          <w:p w14:paraId="0D1F7A3C" w14:textId="161F038F"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 xml:space="preserve">Asistencia Técnica para la Realización de Análisis Aguas Residuales </w:t>
            </w:r>
            <w:r>
              <w:rPr>
                <w:rFonts w:ascii="AytoRoquetas Light Condensed" w:hAnsi="AytoRoquetas Light Condensed" w:cs="Arial"/>
                <w:bCs/>
                <w:lang w:val="es-ES_tradnl"/>
              </w:rPr>
              <w:t>octubre 2024</w:t>
            </w:r>
            <w:r>
              <w:rPr>
                <w:rFonts w:ascii="AytoRoquetas Light Condensed" w:hAnsi="AytoRoquetas Light Condensed" w:cs="Arial"/>
                <w:bCs/>
                <w:lang w:val="es-ES_tradnl"/>
              </w:rPr>
              <w:t>.</w:t>
            </w:r>
          </w:p>
          <w:p w14:paraId="5F8D4B45" w14:textId="3262E882"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Certificación</w:t>
            </w:r>
            <w:r>
              <w:rPr>
                <w:rFonts w:ascii="AytoRoquetas Light Condensed" w:hAnsi="AytoRoquetas Light Condensed" w:cs="Arial"/>
                <w:bCs/>
                <w:lang w:val="es-ES_tradnl"/>
              </w:rPr>
              <w:t xml:space="preserve"> 8</w:t>
            </w:r>
            <w:r>
              <w:rPr>
                <w:rFonts w:ascii="AytoRoquetas Light Condensed" w:hAnsi="AytoRoquetas Light Condensed" w:cs="Arial"/>
                <w:bCs/>
                <w:lang w:val="es-ES_tradnl"/>
              </w:rPr>
              <w:t>5</w:t>
            </w:r>
          </w:p>
        </w:tc>
        <w:tc>
          <w:tcPr>
            <w:tcW w:w="2124" w:type="dxa"/>
          </w:tcPr>
          <w:p w14:paraId="4A8D7EF7" w14:textId="3E4EC057"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2025 161 22706</w:t>
            </w:r>
          </w:p>
        </w:tc>
        <w:tc>
          <w:tcPr>
            <w:tcW w:w="2124" w:type="dxa"/>
          </w:tcPr>
          <w:p w14:paraId="314CAEF6" w14:textId="5CD6ACCA" w:rsidR="008B512D" w:rsidRDefault="008B512D" w:rsidP="008B512D">
            <w:pPr>
              <w:jc w:val="both"/>
              <w:rPr>
                <w:rFonts w:ascii="AytoRoquetas Light Condensed" w:hAnsi="AytoRoquetas Light Condensed" w:cs="Arial"/>
                <w:bCs/>
                <w:lang w:val="es-ES_tradnl"/>
              </w:rPr>
            </w:pPr>
            <w:r>
              <w:rPr>
                <w:rFonts w:ascii="AytoRoquetas Light Condensed" w:hAnsi="AytoRoquetas Light Condensed" w:cs="Arial"/>
                <w:bCs/>
                <w:lang w:val="es-ES_tradnl"/>
              </w:rPr>
              <w:t>8.665,42</w:t>
            </w:r>
          </w:p>
        </w:tc>
      </w:tr>
    </w:tbl>
    <w:p w14:paraId="6DB32A74" w14:textId="77777777" w:rsidR="0092485A" w:rsidRPr="00152661" w:rsidRDefault="0092485A" w:rsidP="0092485A">
      <w:pPr>
        <w:jc w:val="both"/>
        <w:rPr>
          <w:rFonts w:ascii="AytoRoquetas Light Condensed" w:hAnsi="AytoRoquetas Light Condensed" w:cs="Arial"/>
          <w:bCs/>
          <w:lang w:val="es-ES_tradnl"/>
        </w:rPr>
      </w:pPr>
    </w:p>
    <w:p w14:paraId="0D709B81" w14:textId="5FA5A08E" w:rsidR="0092485A" w:rsidRDefault="008B512D"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 xml:space="preserve">SEGUNDO. </w:t>
      </w:r>
      <w:r>
        <w:rPr>
          <w:rFonts w:ascii="AytoRoquetas Light Condensed" w:hAnsi="AytoRoquetas Light Condensed" w:cs="Arial"/>
          <w:b/>
          <w:lang w:val="es-ES_tradnl"/>
        </w:rPr>
        <w:t xml:space="preserve">– </w:t>
      </w:r>
      <w:r>
        <w:rPr>
          <w:rFonts w:ascii="AytoRoquetas Light Condensed" w:hAnsi="AytoRoquetas Light Condensed" w:cs="Arial"/>
          <w:bCs/>
          <w:lang w:val="es-ES_tradnl"/>
        </w:rPr>
        <w:t>En fecha 14 de agosto de 2023 se dictó por parte del Sr. Presidente del CIAP Decreto 2023/62 en virtud del cual se dispuso:</w:t>
      </w:r>
    </w:p>
    <w:p w14:paraId="4CBB28E9" w14:textId="311EA756" w:rsidR="008B512D" w:rsidRPr="008B512D" w:rsidRDefault="008B512D" w:rsidP="0092485A">
      <w:pPr>
        <w:jc w:val="both"/>
        <w:rPr>
          <w:rFonts w:ascii="AytoRoquetas Light Condensed" w:hAnsi="AytoRoquetas Light Condensed" w:cs="Arial"/>
          <w:bCs/>
          <w:lang w:val="es-ES_tradnl"/>
        </w:rPr>
      </w:pPr>
      <w:r w:rsidRPr="008B512D">
        <w:rPr>
          <w:rFonts w:ascii="AytoRoquetas Light Condensed" w:hAnsi="AytoRoquetas Light Condensed" w:cs="Arial"/>
          <w:bCs/>
          <w:lang w:val="es-ES_tradnl"/>
        </w:rPr>
        <w:lastRenderedPageBreak/>
        <w:drawing>
          <wp:inline distT="0" distB="0" distL="0" distR="0" wp14:anchorId="00064A0A" wp14:editId="447119A5">
            <wp:extent cx="5400040" cy="1856105"/>
            <wp:effectExtent l="0" t="0" r="0" b="0"/>
            <wp:docPr id="595934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934464" name=""/>
                    <pic:cNvPicPr/>
                  </pic:nvPicPr>
                  <pic:blipFill>
                    <a:blip r:embed="rId6"/>
                    <a:stretch>
                      <a:fillRect/>
                    </a:stretch>
                  </pic:blipFill>
                  <pic:spPr>
                    <a:xfrm>
                      <a:off x="0" y="0"/>
                      <a:ext cx="5400040" cy="1856105"/>
                    </a:xfrm>
                    <a:prstGeom prst="rect">
                      <a:avLst/>
                    </a:prstGeom>
                  </pic:spPr>
                </pic:pic>
              </a:graphicData>
            </a:graphic>
          </wp:inline>
        </w:drawing>
      </w:r>
    </w:p>
    <w:p w14:paraId="340A64FA" w14:textId="77777777" w:rsidR="0092485A" w:rsidRPr="00152661" w:rsidRDefault="0092485A" w:rsidP="0092485A">
      <w:pPr>
        <w:jc w:val="both"/>
        <w:rPr>
          <w:rFonts w:ascii="AytoRoquetas Light Condensed" w:hAnsi="AytoRoquetas Light Condensed" w:cs="Arial"/>
          <w:bCs/>
          <w:lang w:val="es-ES_tradnl"/>
        </w:rPr>
      </w:pPr>
    </w:p>
    <w:p w14:paraId="0DD09EBE" w14:textId="77777777" w:rsidR="0092485A" w:rsidRPr="00152661" w:rsidRDefault="0092485A" w:rsidP="0092485A">
      <w:pPr>
        <w:jc w:val="both"/>
        <w:rPr>
          <w:rFonts w:ascii="AytoRoquetas Light Condensed" w:hAnsi="AytoRoquetas Light Condensed" w:cs="Arial"/>
          <w:b/>
          <w:lang w:val="es-ES_tradnl"/>
        </w:rPr>
      </w:pPr>
      <w:r w:rsidRPr="00152661">
        <w:rPr>
          <w:rFonts w:ascii="AytoRoquetas Light Condensed" w:hAnsi="AytoRoquetas Light Condensed" w:cs="Arial"/>
          <w:b/>
          <w:lang w:val="es-ES_tradnl"/>
        </w:rPr>
        <w:t>LEGISLACION APLICABLE:</w:t>
      </w:r>
    </w:p>
    <w:p w14:paraId="1766A349" w14:textId="77777777" w:rsidR="0092485A" w:rsidRPr="00152661" w:rsidRDefault="0092485A" w:rsidP="0092485A">
      <w:pPr>
        <w:jc w:val="both"/>
        <w:rPr>
          <w:rFonts w:ascii="AytoRoquetas Light Condensed" w:hAnsi="AytoRoquetas Light Condensed" w:cs="Arial"/>
          <w:bCs/>
          <w:lang w:val="es-ES_tradnl"/>
        </w:rPr>
      </w:pPr>
    </w:p>
    <w:p w14:paraId="5792ED34"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Real Decreto Legislativo 2/2004 de 5 de Marzo por el que se aprueba el texto refundido de la Ley reguladora de las Haciendas Locales (TRLRHL)</w:t>
      </w:r>
    </w:p>
    <w:p w14:paraId="3AA2BAE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RD 424/2017 de 28 de Abril por el que se regula el régimen jurídico del control interno de las entidades del Sector Publico Local (RCIL)</w:t>
      </w:r>
    </w:p>
    <w:p w14:paraId="0FE84586"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Ley 9/2017 de 8 de Noviembre de Contratos del Sector Publico (LCSP)</w:t>
      </w:r>
    </w:p>
    <w:p w14:paraId="5CBFDBDA"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Ley 39/2015 de 1 de octubre del Procedimiento Administrativo Comun de las Administraciones Publicas (LPAC)</w:t>
      </w:r>
    </w:p>
    <w:p w14:paraId="4762208C" w14:textId="77777777" w:rsidR="0092485A" w:rsidRPr="00152661" w:rsidRDefault="0092485A" w:rsidP="0092485A">
      <w:pPr>
        <w:jc w:val="both"/>
        <w:rPr>
          <w:rFonts w:ascii="AytoRoquetas Light Condensed" w:hAnsi="AytoRoquetas Light Condensed" w:cs="Arial"/>
          <w:bCs/>
          <w:lang w:val="es-ES_tradnl"/>
        </w:rPr>
      </w:pPr>
    </w:p>
    <w:p w14:paraId="1A877959" w14:textId="77777777" w:rsidR="0092485A" w:rsidRPr="00152661" w:rsidRDefault="0092485A" w:rsidP="002146A4">
      <w:pPr>
        <w:jc w:val="center"/>
        <w:rPr>
          <w:rFonts w:ascii="AytoRoquetas Light Condensed" w:hAnsi="AytoRoquetas Light Condensed" w:cs="Arial"/>
          <w:b/>
          <w:lang w:val="es-ES_tradnl"/>
        </w:rPr>
      </w:pPr>
      <w:r w:rsidRPr="00152661">
        <w:rPr>
          <w:rFonts w:ascii="AytoRoquetas Light Condensed" w:hAnsi="AytoRoquetas Light Condensed" w:cs="Arial"/>
          <w:b/>
          <w:lang w:val="es-ES_tradnl"/>
        </w:rPr>
        <w:t>INFORME:</w:t>
      </w:r>
    </w:p>
    <w:p w14:paraId="5A4700AE" w14:textId="77777777" w:rsidR="0092485A" w:rsidRPr="00152661" w:rsidRDefault="0092485A" w:rsidP="0092485A">
      <w:pPr>
        <w:jc w:val="both"/>
        <w:rPr>
          <w:rFonts w:ascii="AytoRoquetas Light Condensed" w:hAnsi="AytoRoquetas Light Condensed" w:cs="Arial"/>
          <w:bCs/>
          <w:lang w:val="es-ES_tradnl"/>
        </w:rPr>
      </w:pPr>
    </w:p>
    <w:p w14:paraId="70F1F9A3" w14:textId="61526C33" w:rsidR="0092485A" w:rsidRPr="00152661" w:rsidRDefault="00BE068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PRIMERO</w:t>
      </w:r>
      <w:r w:rsidRPr="00152661">
        <w:rPr>
          <w:rFonts w:ascii="AytoRoquetas Light Condensed" w:hAnsi="AytoRoquetas Light Condensed" w:cs="Arial"/>
          <w:bCs/>
          <w:lang w:val="es-ES_tradnl"/>
        </w:rPr>
        <w:t>. -</w:t>
      </w:r>
      <w:r w:rsidR="0092485A" w:rsidRPr="00152661">
        <w:rPr>
          <w:rFonts w:ascii="AytoRoquetas Light Condensed" w:hAnsi="AytoRoquetas Light Condensed" w:cs="Arial"/>
          <w:bCs/>
          <w:lang w:val="es-ES_tradnl"/>
        </w:rPr>
        <w:t xml:space="preserve">La LCSP establece en su art 1 los principios generales de la contratación </w:t>
      </w:r>
      <w:r w:rsidR="008B512D" w:rsidRPr="00152661">
        <w:rPr>
          <w:rFonts w:ascii="AytoRoquetas Light Condensed" w:hAnsi="AytoRoquetas Light Condensed" w:cs="Arial"/>
          <w:bCs/>
          <w:lang w:val="es-ES_tradnl"/>
        </w:rPr>
        <w:t>pública</w:t>
      </w:r>
      <w:r w:rsidR="0092485A" w:rsidRPr="00152661">
        <w:rPr>
          <w:rFonts w:ascii="AytoRoquetas Light Condensed" w:hAnsi="AytoRoquetas Light Condensed" w:cs="Arial"/>
          <w:bCs/>
          <w:lang w:val="es-ES_tradnl"/>
        </w:rPr>
        <w:t xml:space="preserve"> que no son otros que la libertad de acceso a las licitaciones, publicidad y transparencia de los procedimientos e igualdad de trato entre los licitadores, y todo ello en conexión con el objetivo de la estabilidad presupuestaria y control del gasto. Por otro </w:t>
      </w:r>
      <w:r w:rsidR="008B512D" w:rsidRPr="00152661">
        <w:rPr>
          <w:rFonts w:ascii="AytoRoquetas Light Condensed" w:hAnsi="AytoRoquetas Light Condensed" w:cs="Arial"/>
          <w:bCs/>
          <w:lang w:val="es-ES_tradnl"/>
        </w:rPr>
        <w:t>lado,</w:t>
      </w:r>
      <w:r w:rsidR="0092485A" w:rsidRPr="00152661">
        <w:rPr>
          <w:rFonts w:ascii="AytoRoquetas Light Condensed" w:hAnsi="AytoRoquetas Light Condensed" w:cs="Arial"/>
          <w:bCs/>
          <w:lang w:val="es-ES_tradnl"/>
        </w:rPr>
        <w:t xml:space="preserve"> el art 37 de la </w:t>
      </w:r>
      <w:r w:rsidR="008B512D">
        <w:rPr>
          <w:rFonts w:ascii="AytoRoquetas Light Condensed" w:hAnsi="AytoRoquetas Light Condensed" w:cs="Arial"/>
          <w:bCs/>
          <w:lang w:val="es-ES_tradnl"/>
        </w:rPr>
        <w:t>LCSP</w:t>
      </w:r>
      <w:r w:rsidR="0092485A" w:rsidRPr="00152661">
        <w:rPr>
          <w:rFonts w:ascii="AytoRoquetas Light Condensed" w:hAnsi="AytoRoquetas Light Condensed" w:cs="Arial"/>
          <w:bCs/>
          <w:lang w:val="es-ES_tradnl"/>
        </w:rPr>
        <w:t xml:space="preserve"> establece que no se podrá contratar “verbalmente”</w:t>
      </w:r>
      <w:r w:rsidR="008B512D">
        <w:rPr>
          <w:rFonts w:ascii="AytoRoquetas Light Condensed" w:hAnsi="AytoRoquetas Light Condensed" w:cs="Arial"/>
          <w:bCs/>
          <w:lang w:val="es-ES_tradnl"/>
        </w:rPr>
        <w:t xml:space="preserve">, en el expediente que consta tramitado en fecha 14 de agosto de 2023 se acordó una prórroga no prevista en el PCAP por una duración incluso superior a la prevista para las prórrogas que sí se habían previsto en el mencionado pliego, sin que dicho acuerdo pueda extenderse </w:t>
      </w:r>
      <w:r>
        <w:rPr>
          <w:rFonts w:ascii="AytoRoquetas Light Condensed" w:hAnsi="AytoRoquetas Light Condensed" w:cs="Arial"/>
          <w:bCs/>
          <w:lang w:val="es-ES_tradnl"/>
        </w:rPr>
        <w:t xml:space="preserve">a un régimen plurianual sine die, cuestión esta equivalente a una ausencia contractual propiamente dicha o incluso a una contratación verbal modalidad ésta proscrita en la meritada LCSP. </w:t>
      </w:r>
    </w:p>
    <w:p w14:paraId="0E02C7AC" w14:textId="77777777" w:rsidR="0092485A" w:rsidRPr="00152661" w:rsidRDefault="0092485A" w:rsidP="0092485A">
      <w:pPr>
        <w:jc w:val="both"/>
        <w:rPr>
          <w:rFonts w:ascii="AytoRoquetas Light Condensed" w:hAnsi="AytoRoquetas Light Condensed" w:cs="Arial"/>
          <w:bCs/>
          <w:lang w:val="es-ES_tradnl"/>
        </w:rPr>
      </w:pPr>
    </w:p>
    <w:p w14:paraId="1BB2C2DD" w14:textId="4FC55A12" w:rsidR="0092485A" w:rsidRPr="00152661" w:rsidRDefault="00BE068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SEGUNDO</w:t>
      </w:r>
      <w:r w:rsidRPr="00152661">
        <w:rPr>
          <w:rFonts w:ascii="AytoRoquetas Light Condensed" w:hAnsi="AytoRoquetas Light Condensed" w:cs="Arial"/>
          <w:bCs/>
          <w:lang w:val="es-ES_tradnl"/>
        </w:rPr>
        <w:t>. -</w:t>
      </w:r>
      <w:r w:rsidR="0092485A" w:rsidRPr="00152661">
        <w:rPr>
          <w:rFonts w:ascii="AytoRoquetas Light Condensed" w:hAnsi="AytoRoquetas Light Condensed" w:cs="Arial"/>
          <w:bCs/>
          <w:lang w:val="es-ES_tradnl"/>
        </w:rPr>
        <w:t>El art 173 apartado 5 del TRLRHL dispone que no podrán adquirirse compromisos de gastos por cuantía superior al importe de los créditos autorizados en el presupuesto, siendo nulos de pleno derecho los actos y acuerdos que infrinjan este precepto, y todo ello sin perjuicio de las responsabilidades a que haya lugar.</w:t>
      </w:r>
    </w:p>
    <w:p w14:paraId="33EA66A9" w14:textId="77777777" w:rsidR="0092485A" w:rsidRPr="00152661" w:rsidRDefault="0092485A" w:rsidP="0092485A">
      <w:pPr>
        <w:jc w:val="both"/>
        <w:rPr>
          <w:rFonts w:ascii="AytoRoquetas Light Condensed" w:hAnsi="AytoRoquetas Light Condensed" w:cs="Arial"/>
          <w:bCs/>
          <w:lang w:val="es-ES_tradnl"/>
        </w:rPr>
      </w:pPr>
    </w:p>
    <w:p w14:paraId="42713B15" w14:textId="7EF269BE" w:rsidR="0092485A" w:rsidRPr="00152661" w:rsidRDefault="00BE068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lastRenderedPageBreak/>
        <w:t>TERCERO</w:t>
      </w:r>
      <w:r w:rsidRPr="00152661">
        <w:rPr>
          <w:rFonts w:ascii="AytoRoquetas Light Condensed" w:hAnsi="AytoRoquetas Light Condensed" w:cs="Arial"/>
          <w:bCs/>
          <w:lang w:val="es-ES_tradnl"/>
        </w:rPr>
        <w:t>. -</w:t>
      </w:r>
      <w:r w:rsidR="0092485A" w:rsidRPr="00152661">
        <w:rPr>
          <w:rFonts w:ascii="AytoRoquetas Light Condensed" w:hAnsi="AytoRoquetas Light Condensed" w:cs="Arial"/>
          <w:bCs/>
          <w:lang w:val="es-ES_tradnl"/>
        </w:rPr>
        <w:t>El art 28 del RCIL establece un procedimiento denominado “de la omisión de la función interventora” para aquellos supuestos en los que siendo preceptiva la fiscalización, la misma se haya omitido. Tal y como establece el citado art 28 apartado 5, en el que ante una situación de nulidad de pleno derecho por cualquiera de las causas previstas en el art 47 de la LPAC o en el art 39 de la LCSP, solamente se acudirá a la revisión de oficio cuando sea presumible que el importe de la indemnización vaya a ser inferior, y en el resto de los casos se acuda a la convalidación de los actos y ello por economía procesal y utilizándose el título de la prohibición del enriquecimiento injusto.</w:t>
      </w:r>
    </w:p>
    <w:p w14:paraId="0CF47EBB" w14:textId="77777777" w:rsidR="0092485A" w:rsidRPr="00152661" w:rsidRDefault="0092485A" w:rsidP="0092485A">
      <w:pPr>
        <w:jc w:val="both"/>
        <w:rPr>
          <w:rFonts w:ascii="AytoRoquetas Light Condensed" w:hAnsi="AytoRoquetas Light Condensed" w:cs="Arial"/>
          <w:bCs/>
          <w:lang w:val="es-ES_tradnl"/>
        </w:rPr>
      </w:pPr>
    </w:p>
    <w:p w14:paraId="1AAE8734" w14:textId="67D03651" w:rsidR="0092485A" w:rsidRPr="00152661" w:rsidRDefault="00BE068A" w:rsidP="0092485A">
      <w:pPr>
        <w:jc w:val="both"/>
        <w:rPr>
          <w:rFonts w:ascii="AytoRoquetas Light Condensed" w:hAnsi="AytoRoquetas Light Condensed" w:cs="Arial"/>
          <w:bCs/>
        </w:rPr>
      </w:pPr>
      <w:r w:rsidRPr="006E038D">
        <w:rPr>
          <w:rFonts w:ascii="AytoRoquetas Light Condensed" w:hAnsi="AytoRoquetas Light Condensed" w:cs="Arial"/>
          <w:b/>
        </w:rPr>
        <w:t>CUARTO. -</w:t>
      </w:r>
      <w:r w:rsidR="0092485A" w:rsidRPr="006E038D">
        <w:rPr>
          <w:rFonts w:ascii="AytoRoquetas Light Condensed" w:hAnsi="AytoRoquetas Light Condensed" w:cs="Arial"/>
          <w:bCs/>
        </w:rPr>
        <w:t>El propio art 28 establece que sea el propio Interventor el que valore la posibilidad y</w:t>
      </w:r>
      <w:r w:rsidR="0092485A" w:rsidRPr="00152661">
        <w:rPr>
          <w:rFonts w:ascii="AytoRoquetas Light Condensed" w:hAnsi="AytoRoquetas Light Condensed" w:cs="Arial"/>
          <w:bCs/>
        </w:rPr>
        <w:t xml:space="preserve"> </w:t>
      </w:r>
      <w:r w:rsidR="0092485A" w:rsidRPr="006E038D">
        <w:rPr>
          <w:rFonts w:ascii="AytoRoquetas Light Condensed" w:hAnsi="AytoRoquetas Light Condensed" w:cs="Arial"/>
          <w:bCs/>
        </w:rPr>
        <w:t xml:space="preserve">conveniencia de acudir a la </w:t>
      </w:r>
      <w:r w:rsidRPr="006E038D">
        <w:rPr>
          <w:rFonts w:ascii="AytoRoquetas Light Condensed" w:hAnsi="AytoRoquetas Light Condensed" w:cs="Arial"/>
          <w:bCs/>
        </w:rPr>
        <w:t>vía</w:t>
      </w:r>
      <w:r w:rsidR="0092485A" w:rsidRPr="006E038D">
        <w:rPr>
          <w:rFonts w:ascii="AytoRoquetas Light Condensed" w:hAnsi="AytoRoquetas Light Condensed" w:cs="Arial"/>
          <w:bCs/>
        </w:rPr>
        <w:t xml:space="preserve"> de la revisión de oficio prevista en el art 106 de la LPAC, y para</w:t>
      </w:r>
      <w:r w:rsidR="0092485A" w:rsidRPr="00152661">
        <w:rPr>
          <w:rFonts w:ascii="AytoRoquetas Light Condensed" w:hAnsi="AytoRoquetas Light Condensed" w:cs="Arial"/>
          <w:bCs/>
        </w:rPr>
        <w:t xml:space="preserve"> </w:t>
      </w:r>
      <w:r w:rsidR="0092485A" w:rsidRPr="006E038D">
        <w:rPr>
          <w:rFonts w:ascii="AytoRoquetas Light Condensed" w:hAnsi="AytoRoquetas Light Condensed" w:cs="Arial"/>
          <w:bCs/>
        </w:rPr>
        <w:t>realizar esta valoración se deberán tener en cuenta aspectos tales como si se han realizado o no</w:t>
      </w:r>
      <w:r w:rsidR="0092485A" w:rsidRPr="00152661">
        <w:rPr>
          <w:rFonts w:ascii="AytoRoquetas Light Condensed" w:hAnsi="AytoRoquetas Light Condensed" w:cs="Arial"/>
          <w:bCs/>
        </w:rPr>
        <w:t xml:space="preserve"> </w:t>
      </w:r>
      <w:r w:rsidR="0092485A" w:rsidRPr="006E038D">
        <w:rPr>
          <w:rFonts w:ascii="AytoRoquetas Light Condensed" w:hAnsi="AytoRoquetas Light Condensed" w:cs="Arial"/>
          <w:bCs/>
        </w:rPr>
        <w:t xml:space="preserve">las prestaciones, el carácter de las mismas, su valoración, </w:t>
      </w:r>
      <w:r w:rsidRPr="006E038D">
        <w:rPr>
          <w:rFonts w:ascii="AytoRoquetas Light Condensed" w:hAnsi="AytoRoquetas Light Condensed" w:cs="Arial"/>
          <w:bCs/>
        </w:rPr>
        <w:t>así</w:t>
      </w:r>
      <w:r w:rsidR="0092485A" w:rsidRPr="006E038D">
        <w:rPr>
          <w:rFonts w:ascii="AytoRoquetas Light Condensed" w:hAnsi="AytoRoquetas Light Condensed" w:cs="Arial"/>
          <w:bCs/>
        </w:rPr>
        <w:t xml:space="preserve"> como los incumplimientos legales</w:t>
      </w:r>
      <w:r w:rsidR="0092485A" w:rsidRPr="00152661">
        <w:rPr>
          <w:rFonts w:ascii="AytoRoquetas Light Condensed" w:hAnsi="AytoRoquetas Light Condensed" w:cs="Arial"/>
          <w:bCs/>
        </w:rPr>
        <w:t xml:space="preserve"> </w:t>
      </w:r>
      <w:r w:rsidR="0092485A" w:rsidRPr="006E038D">
        <w:rPr>
          <w:rFonts w:ascii="AytoRoquetas Light Condensed" w:hAnsi="AytoRoquetas Light Condensed" w:cs="Arial"/>
          <w:bCs/>
        </w:rPr>
        <w:t>que se hayan producido.</w:t>
      </w:r>
    </w:p>
    <w:p w14:paraId="3485A35E" w14:textId="77777777" w:rsidR="0092485A" w:rsidRPr="006E038D" w:rsidRDefault="0092485A" w:rsidP="0092485A">
      <w:pPr>
        <w:jc w:val="both"/>
        <w:rPr>
          <w:rFonts w:ascii="AytoRoquetas Light Condensed" w:hAnsi="AytoRoquetas Light Condensed" w:cs="Arial"/>
          <w:bCs/>
        </w:rPr>
      </w:pPr>
    </w:p>
    <w:p w14:paraId="05D91FF3" w14:textId="2380ABF0" w:rsidR="0092485A" w:rsidRPr="006E038D" w:rsidRDefault="00BE068A" w:rsidP="0092485A">
      <w:pPr>
        <w:jc w:val="both"/>
        <w:rPr>
          <w:rFonts w:ascii="AytoRoquetas Light Condensed" w:hAnsi="AytoRoquetas Light Condensed" w:cs="Arial"/>
          <w:bCs/>
        </w:rPr>
      </w:pPr>
      <w:r w:rsidRPr="006E038D">
        <w:rPr>
          <w:rFonts w:ascii="AytoRoquetas Light Condensed" w:hAnsi="AytoRoquetas Light Condensed" w:cs="Arial"/>
          <w:b/>
        </w:rPr>
        <w:t>QUINTO</w:t>
      </w:r>
      <w:r w:rsidRPr="006E038D">
        <w:rPr>
          <w:rFonts w:ascii="AytoRoquetas Light Condensed" w:hAnsi="AytoRoquetas Light Condensed" w:cs="Arial"/>
          <w:bCs/>
        </w:rPr>
        <w:t>. -</w:t>
      </w:r>
      <w:r>
        <w:rPr>
          <w:rFonts w:ascii="AytoRoquetas Light Condensed" w:hAnsi="AytoRoquetas Light Condensed" w:cs="Arial"/>
          <w:bCs/>
        </w:rPr>
        <w:t xml:space="preserve">De la documentación </w:t>
      </w:r>
      <w:r w:rsidR="0092485A" w:rsidRPr="006E038D">
        <w:rPr>
          <w:rFonts w:ascii="AytoRoquetas Light Condensed" w:hAnsi="AytoRoquetas Light Condensed" w:cs="Arial"/>
          <w:bCs/>
        </w:rPr>
        <w:t xml:space="preserve"> que obra en el expediente del gasto, se</w:t>
      </w:r>
      <w:r w:rsidR="0092485A" w:rsidRPr="00152661">
        <w:rPr>
          <w:rFonts w:ascii="AytoRoquetas Light Condensed" w:hAnsi="AytoRoquetas Light Condensed" w:cs="Arial"/>
          <w:bCs/>
        </w:rPr>
        <w:t xml:space="preserve"> </w:t>
      </w:r>
      <w:r w:rsidR="0092485A" w:rsidRPr="006E038D">
        <w:rPr>
          <w:rFonts w:ascii="AytoRoquetas Light Condensed" w:hAnsi="AytoRoquetas Light Condensed" w:cs="Arial"/>
          <w:bCs/>
        </w:rPr>
        <w:t xml:space="preserve">acreditan las siguientes </w:t>
      </w:r>
      <w:r w:rsidRPr="006E038D">
        <w:rPr>
          <w:rFonts w:ascii="AytoRoquetas Light Condensed" w:hAnsi="AytoRoquetas Light Condensed" w:cs="Arial"/>
          <w:bCs/>
        </w:rPr>
        <w:t>circunstancias</w:t>
      </w:r>
      <w:r w:rsidR="0092485A" w:rsidRPr="006E038D">
        <w:rPr>
          <w:rFonts w:ascii="AytoRoquetas Light Condensed" w:hAnsi="AytoRoquetas Light Condensed" w:cs="Arial"/>
          <w:bCs/>
        </w:rPr>
        <w:t>:</w:t>
      </w:r>
    </w:p>
    <w:p w14:paraId="75AB55BC" w14:textId="057AD5F1" w:rsidR="0092485A" w:rsidRPr="006E038D" w:rsidRDefault="0092485A" w:rsidP="0092485A">
      <w:pPr>
        <w:jc w:val="both"/>
        <w:rPr>
          <w:rFonts w:ascii="AytoRoquetas Light Condensed" w:hAnsi="AytoRoquetas Light Condensed" w:cs="Arial"/>
          <w:bCs/>
        </w:rPr>
      </w:pPr>
      <w:r w:rsidRPr="006E038D">
        <w:rPr>
          <w:rFonts w:ascii="Segoe UI Symbol" w:hAnsi="Segoe UI Symbol" w:cs="Segoe UI Symbol"/>
          <w:bCs/>
        </w:rPr>
        <w:t>☒</w:t>
      </w:r>
      <w:r w:rsidRPr="006E038D">
        <w:rPr>
          <w:rFonts w:ascii="AytoRoquetas Light Condensed" w:hAnsi="AytoRoquetas Light Condensed" w:cs="Arial"/>
          <w:bCs/>
        </w:rPr>
        <w:t xml:space="preserve"> Que las prestaciones se han realizado a </w:t>
      </w:r>
      <w:r w:rsidR="00BE068A" w:rsidRPr="006E038D">
        <w:rPr>
          <w:rFonts w:ascii="AytoRoquetas Light Condensed" w:hAnsi="AytoRoquetas Light Condensed" w:cs="Arial"/>
          <w:bCs/>
        </w:rPr>
        <w:t>satisfacción</w:t>
      </w:r>
      <w:r w:rsidRPr="006E038D">
        <w:rPr>
          <w:rFonts w:ascii="AytoRoquetas Light Condensed" w:hAnsi="AytoRoquetas Light Condensed" w:cs="Arial"/>
          <w:bCs/>
        </w:rPr>
        <w:t xml:space="preserve"> del </w:t>
      </w:r>
      <w:r w:rsidRPr="00152661">
        <w:rPr>
          <w:rFonts w:ascii="AytoRoquetas Light Condensed" w:hAnsi="AytoRoquetas Light Condensed" w:cs="Arial"/>
          <w:bCs/>
        </w:rPr>
        <w:t>Consorcio</w:t>
      </w:r>
      <w:r w:rsidRPr="006E038D">
        <w:rPr>
          <w:rFonts w:ascii="AytoRoquetas Light Condensed" w:hAnsi="AytoRoquetas Light Condensed" w:cs="Arial"/>
          <w:bCs/>
        </w:rPr>
        <w:t>.</w:t>
      </w:r>
    </w:p>
    <w:p w14:paraId="490510CC" w14:textId="77777777" w:rsidR="0092485A" w:rsidRPr="006E038D" w:rsidRDefault="0092485A" w:rsidP="0092485A">
      <w:pPr>
        <w:jc w:val="both"/>
        <w:rPr>
          <w:rFonts w:ascii="AytoRoquetas Light Condensed" w:hAnsi="AytoRoquetas Light Condensed" w:cs="Arial"/>
          <w:bCs/>
        </w:rPr>
      </w:pPr>
      <w:r w:rsidRPr="006E038D">
        <w:rPr>
          <w:rFonts w:ascii="Segoe UI Symbol" w:hAnsi="Segoe UI Symbol" w:cs="Segoe UI Symbol"/>
          <w:bCs/>
        </w:rPr>
        <w:t>☒</w:t>
      </w:r>
      <w:r w:rsidRPr="006E038D">
        <w:rPr>
          <w:rFonts w:ascii="AytoRoquetas Light Condensed" w:hAnsi="AytoRoquetas Light Condensed" w:cs="Arial"/>
          <w:bCs/>
        </w:rPr>
        <w:t xml:space="preserve"> Que se trata de prestaciones de hacer en las que no es posible que las partes se</w:t>
      </w:r>
      <w:r w:rsidRPr="00152661">
        <w:rPr>
          <w:rFonts w:ascii="AytoRoquetas Light Condensed" w:hAnsi="AytoRoquetas Light Condensed" w:cs="Arial"/>
          <w:bCs/>
        </w:rPr>
        <w:t xml:space="preserve"> </w:t>
      </w:r>
      <w:r w:rsidRPr="006E038D">
        <w:rPr>
          <w:rFonts w:ascii="AytoRoquetas Light Condensed" w:hAnsi="AytoRoquetas Light Condensed" w:cs="Arial"/>
          <w:bCs/>
        </w:rPr>
        <w:t>restituyan</w:t>
      </w:r>
      <w:r w:rsidRPr="00152661">
        <w:rPr>
          <w:rFonts w:ascii="AytoRoquetas Light Condensed" w:hAnsi="AytoRoquetas Light Condensed" w:cs="Arial"/>
          <w:bCs/>
        </w:rPr>
        <w:t xml:space="preserve"> </w:t>
      </w:r>
      <w:r w:rsidRPr="006E038D">
        <w:rPr>
          <w:rFonts w:ascii="AytoRoquetas Light Condensed" w:hAnsi="AytoRoquetas Light Condensed" w:cs="Arial"/>
          <w:bCs/>
        </w:rPr>
        <w:t>las cosas que hubieran recibido, por lo que se tendrá que abonar su equivalente en met</w:t>
      </w:r>
      <w:r w:rsidRPr="00152661">
        <w:rPr>
          <w:rFonts w:ascii="AytoRoquetas Light Condensed" w:hAnsi="AytoRoquetas Light Condensed" w:cs="Arial"/>
          <w:bCs/>
        </w:rPr>
        <w:t>á</w:t>
      </w:r>
      <w:r w:rsidRPr="006E038D">
        <w:rPr>
          <w:rFonts w:ascii="AytoRoquetas Light Condensed" w:hAnsi="AytoRoquetas Light Condensed" w:cs="Arial"/>
          <w:bCs/>
        </w:rPr>
        <w:t>lico (art</w:t>
      </w:r>
      <w:r w:rsidRPr="00152661">
        <w:rPr>
          <w:rFonts w:ascii="AytoRoquetas Light Condensed" w:hAnsi="AytoRoquetas Light Condensed" w:cs="Arial"/>
          <w:bCs/>
        </w:rPr>
        <w:t xml:space="preserve"> </w:t>
      </w:r>
      <w:r w:rsidRPr="006E038D">
        <w:rPr>
          <w:rFonts w:ascii="AytoRoquetas Light Condensed" w:hAnsi="AytoRoquetas Light Condensed" w:cs="Arial"/>
          <w:bCs/>
        </w:rPr>
        <w:t>42 LCSP).</w:t>
      </w:r>
    </w:p>
    <w:p w14:paraId="6262338E" w14:textId="48C395B5" w:rsidR="0092485A" w:rsidRPr="006E038D" w:rsidRDefault="0092485A" w:rsidP="0092485A">
      <w:pPr>
        <w:jc w:val="both"/>
        <w:rPr>
          <w:rFonts w:ascii="AytoRoquetas Light Condensed" w:hAnsi="AytoRoquetas Light Condensed" w:cs="Arial"/>
          <w:bCs/>
        </w:rPr>
      </w:pPr>
      <w:r w:rsidRPr="006E038D">
        <w:rPr>
          <w:rFonts w:ascii="Segoe UI Symbol" w:hAnsi="Segoe UI Symbol" w:cs="Segoe UI Symbol"/>
          <w:bCs/>
        </w:rPr>
        <w:t>☒</w:t>
      </w:r>
      <w:r w:rsidRPr="006E038D">
        <w:rPr>
          <w:rFonts w:ascii="AytoRoquetas Light Condensed" w:hAnsi="AytoRoquetas Light Condensed" w:cs="Arial"/>
          <w:bCs/>
        </w:rPr>
        <w:t xml:space="preserve"> Que el valor de las prestaciones se ajusta a precios de </w:t>
      </w:r>
      <w:r w:rsidR="00BE068A">
        <w:rPr>
          <w:rFonts w:ascii="AytoRoquetas Light Condensed" w:hAnsi="AytoRoquetas Light Condensed" w:cs="Arial"/>
          <w:bCs/>
        </w:rPr>
        <w:t>mercado o se sitúan por debajo de dicho umbral.</w:t>
      </w:r>
    </w:p>
    <w:p w14:paraId="6C60B96E" w14:textId="77777777" w:rsidR="0092485A" w:rsidRPr="006E038D" w:rsidRDefault="0092485A" w:rsidP="0092485A">
      <w:pPr>
        <w:jc w:val="both"/>
        <w:rPr>
          <w:rFonts w:ascii="AytoRoquetas Light Condensed" w:hAnsi="AytoRoquetas Light Condensed" w:cs="Arial"/>
          <w:bCs/>
        </w:rPr>
      </w:pPr>
      <w:r w:rsidRPr="006E038D">
        <w:rPr>
          <w:rFonts w:ascii="Segoe UI Symbol" w:hAnsi="Segoe UI Symbol" w:cs="Segoe UI Symbol"/>
          <w:bCs/>
        </w:rPr>
        <w:t>☒</w:t>
      </w:r>
      <w:r w:rsidRPr="006E038D">
        <w:rPr>
          <w:rFonts w:ascii="AytoRoquetas Light Condensed" w:hAnsi="AytoRoquetas Light Condensed" w:cs="Arial"/>
          <w:bCs/>
        </w:rPr>
        <w:t xml:space="preserve"> Que procede convalidar los actos de nulidad en la contratación y reconocer la obligación</w:t>
      </w:r>
      <w:r w:rsidRPr="00152661">
        <w:rPr>
          <w:rFonts w:ascii="AytoRoquetas Light Condensed" w:hAnsi="AytoRoquetas Light Condensed" w:cs="Arial"/>
          <w:bCs/>
        </w:rPr>
        <w:t xml:space="preserve"> </w:t>
      </w:r>
      <w:r w:rsidRPr="006E038D">
        <w:rPr>
          <w:rFonts w:ascii="AytoRoquetas Light Condensed" w:hAnsi="AytoRoquetas Light Condensed" w:cs="Arial"/>
          <w:bCs/>
        </w:rPr>
        <w:t xml:space="preserve">derivada de la factura a favor del contratista. </w:t>
      </w:r>
    </w:p>
    <w:p w14:paraId="55B6B1E9" w14:textId="77777777" w:rsidR="0092485A" w:rsidRPr="00152661" w:rsidRDefault="0092485A" w:rsidP="0092485A">
      <w:pPr>
        <w:jc w:val="both"/>
        <w:rPr>
          <w:rFonts w:ascii="AytoRoquetas Light Condensed" w:hAnsi="AytoRoquetas Light Condensed" w:cs="Arial"/>
          <w:bCs/>
        </w:rPr>
      </w:pPr>
    </w:p>
    <w:p w14:paraId="5CD428B6" w14:textId="7C54AF79" w:rsidR="0092485A" w:rsidRPr="00152661" w:rsidRDefault="00BE068A" w:rsidP="0092485A">
      <w:pPr>
        <w:jc w:val="both"/>
        <w:rPr>
          <w:rFonts w:ascii="AytoRoquetas Light Condensed" w:hAnsi="AytoRoquetas Light Condensed" w:cs="Arial"/>
          <w:bCs/>
        </w:rPr>
      </w:pPr>
      <w:r w:rsidRPr="00152661">
        <w:rPr>
          <w:rFonts w:ascii="AytoRoquetas Light Condensed" w:hAnsi="AytoRoquetas Light Condensed" w:cs="Arial"/>
          <w:b/>
        </w:rPr>
        <w:t>SEXTO. -</w:t>
      </w:r>
      <w:r w:rsidR="0092485A" w:rsidRPr="00152661">
        <w:rPr>
          <w:rFonts w:ascii="AytoRoquetas Light Condensed" w:hAnsi="AytoRoquetas Light Condensed" w:cs="Arial"/>
          <w:bCs/>
        </w:rPr>
        <w:t>Los incumplimientos legales que se han producido:</w:t>
      </w:r>
    </w:p>
    <w:p w14:paraId="522AABA0" w14:textId="77777777" w:rsidR="0092485A" w:rsidRPr="00152661"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sz w:val="24"/>
          <w:lang w:val="es-ES_tradnl"/>
        </w:rPr>
      </w:pPr>
      <w:r w:rsidRPr="00152661">
        <w:rPr>
          <w:rFonts w:ascii="AytoRoquetas Light Condensed" w:hAnsi="AytoRoquetas Light Condensed" w:cs="Arial"/>
          <w:bCs/>
          <w:sz w:val="24"/>
          <w:lang w:val="es-ES_tradnl"/>
        </w:rPr>
        <w:t>Falta de fiscalización de las fases previas de autorización y compromiso del gasto. (art. 28 RCIL)</w:t>
      </w:r>
    </w:p>
    <w:p w14:paraId="4A070D57" w14:textId="7C172B8D" w:rsidR="0092485A" w:rsidRPr="00152661"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sz w:val="24"/>
          <w:lang w:val="es-ES_tradnl"/>
        </w:rPr>
      </w:pPr>
      <w:r w:rsidRPr="00152661">
        <w:rPr>
          <w:rFonts w:ascii="AytoRoquetas Light Condensed" w:hAnsi="AytoRoquetas Light Condensed" w:cs="Arial"/>
          <w:bCs/>
          <w:sz w:val="24"/>
          <w:lang w:val="es-ES_tradnl"/>
        </w:rPr>
        <w:t>Contratación verbal o ausencia de contrato escrito</w:t>
      </w:r>
      <w:r w:rsidR="00BE068A">
        <w:rPr>
          <w:rFonts w:ascii="AytoRoquetas Light Condensed" w:hAnsi="AytoRoquetas Light Condensed" w:cs="Arial"/>
          <w:bCs/>
          <w:sz w:val="24"/>
          <w:lang w:val="es-ES_tradnl"/>
        </w:rPr>
        <w:t>, prorroga irregular o continuidad irregular en la prestación del servicio</w:t>
      </w:r>
      <w:r w:rsidRPr="00152661">
        <w:rPr>
          <w:rFonts w:ascii="AytoRoquetas Light Condensed" w:hAnsi="AytoRoquetas Light Condensed" w:cs="Arial"/>
          <w:bCs/>
          <w:sz w:val="24"/>
          <w:lang w:val="es-ES_tradnl"/>
        </w:rPr>
        <w:t>. (Art. 37</w:t>
      </w:r>
      <w:r w:rsidR="00BE068A">
        <w:rPr>
          <w:rFonts w:ascii="AytoRoquetas Light Condensed" w:hAnsi="AytoRoquetas Light Condensed" w:cs="Arial"/>
          <w:bCs/>
          <w:sz w:val="24"/>
          <w:lang w:val="es-ES_tradnl"/>
        </w:rPr>
        <w:t xml:space="preserve"> y 29</w:t>
      </w:r>
      <w:r w:rsidRPr="00152661">
        <w:rPr>
          <w:rFonts w:ascii="AytoRoquetas Light Condensed" w:hAnsi="AytoRoquetas Light Condensed" w:cs="Arial"/>
          <w:bCs/>
          <w:sz w:val="24"/>
          <w:lang w:val="es-ES_tradnl"/>
        </w:rPr>
        <w:t xml:space="preserve"> LCSP)</w:t>
      </w:r>
    </w:p>
    <w:p w14:paraId="0B9791E2" w14:textId="77777777" w:rsidR="0092485A" w:rsidRPr="00152661"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sz w:val="24"/>
          <w:lang w:val="es-ES_tradnl"/>
        </w:rPr>
      </w:pPr>
      <w:r w:rsidRPr="00152661">
        <w:rPr>
          <w:rFonts w:ascii="AytoRoquetas Light Condensed" w:hAnsi="AytoRoquetas Light Condensed" w:cs="Arial"/>
          <w:bCs/>
          <w:sz w:val="24"/>
          <w:lang w:val="es-ES_tradnl"/>
        </w:rPr>
        <w:t>Fraccionamiento irregular del objeto del contrato (Art. 203 y ss LCSP)</w:t>
      </w:r>
    </w:p>
    <w:p w14:paraId="50C44552" w14:textId="77777777" w:rsidR="0092485A" w:rsidRPr="00152661" w:rsidRDefault="0092485A" w:rsidP="0092485A">
      <w:pPr>
        <w:jc w:val="both"/>
        <w:rPr>
          <w:rFonts w:ascii="AytoRoquetas Light Condensed" w:hAnsi="AytoRoquetas Light Condensed" w:cs="Arial"/>
          <w:b/>
          <w:lang w:val="es-ES_tradnl"/>
        </w:rPr>
      </w:pPr>
      <w:r w:rsidRPr="00152661">
        <w:rPr>
          <w:rFonts w:ascii="AytoRoquetas Light Condensed" w:hAnsi="AytoRoquetas Light Condensed" w:cs="Arial"/>
          <w:b/>
          <w:lang w:val="es-ES_tradnl"/>
        </w:rPr>
        <w:t xml:space="preserve"> </w:t>
      </w:r>
    </w:p>
    <w:p w14:paraId="14A439CD" w14:textId="77777777" w:rsidR="0092485A" w:rsidRPr="00152661" w:rsidRDefault="0092485A" w:rsidP="0092485A">
      <w:pPr>
        <w:jc w:val="both"/>
        <w:rPr>
          <w:rFonts w:ascii="AytoRoquetas Light Condensed" w:hAnsi="AytoRoquetas Light Condensed" w:cs="Arial"/>
          <w:b/>
          <w:lang w:val="es-ES_tradnl"/>
        </w:rPr>
      </w:pPr>
      <w:r w:rsidRPr="00152661">
        <w:rPr>
          <w:rFonts w:ascii="AytoRoquetas Light Condensed" w:hAnsi="AytoRoquetas Light Condensed" w:cs="Arial"/>
          <w:b/>
          <w:lang w:val="es-ES_tradnl"/>
        </w:rPr>
        <w:t>DESCRIPCIÓN DETALLADA DE GASTO</w:t>
      </w:r>
    </w:p>
    <w:p w14:paraId="7B4A2D3C" w14:textId="77777777" w:rsidR="0092485A" w:rsidRPr="00152661" w:rsidRDefault="0092485A" w:rsidP="0092485A">
      <w:pPr>
        <w:jc w:val="both"/>
        <w:rPr>
          <w:rFonts w:ascii="AytoRoquetas Light Condensed" w:hAnsi="AytoRoquetas Light Condensed" w:cs="Arial"/>
          <w:bCs/>
          <w:lang w:val="es-ES_tradnl"/>
        </w:rPr>
      </w:pPr>
    </w:p>
    <w:p w14:paraId="67B646BD"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1.</w:t>
      </w:r>
      <w:r w:rsidRPr="00152661">
        <w:rPr>
          <w:rFonts w:ascii="AytoRoquetas Light Condensed" w:hAnsi="AytoRoquetas Light Condensed" w:cs="Arial"/>
          <w:b/>
          <w:lang w:val="es-ES_tradnl"/>
        </w:rPr>
        <w:tab/>
        <w:t>Número y descripción del expediente:</w:t>
      </w:r>
      <w:r w:rsidRPr="00152661">
        <w:rPr>
          <w:rFonts w:ascii="AytoRoquetas Light Condensed" w:hAnsi="AytoRoquetas Light Condensed" w:cs="Arial"/>
          <w:bCs/>
          <w:lang w:val="es-ES_tradnl"/>
        </w:rPr>
        <w:t xml:space="preserve"> Omisión función interventora.</w:t>
      </w:r>
    </w:p>
    <w:p w14:paraId="56C4A8E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2.</w:t>
      </w:r>
      <w:r w:rsidRPr="00152661">
        <w:rPr>
          <w:rFonts w:ascii="AytoRoquetas Light Condensed" w:hAnsi="AytoRoquetas Light Condensed" w:cs="Arial"/>
          <w:b/>
          <w:lang w:val="es-ES_tradnl"/>
        </w:rPr>
        <w:tab/>
        <w:t>Modalidad del gasto y tipo de expediente:</w:t>
      </w:r>
      <w:r w:rsidRPr="00152661">
        <w:rPr>
          <w:rFonts w:ascii="AytoRoquetas Light Condensed" w:hAnsi="AytoRoquetas Light Condensed" w:cs="Arial"/>
          <w:bCs/>
          <w:lang w:val="es-ES_tradnl"/>
        </w:rPr>
        <w:t xml:space="preserve"> Expedientes de servicios y suministros. Aprobación de facturas. Abonos a cuenta (fase ADO)</w:t>
      </w:r>
    </w:p>
    <w:p w14:paraId="518FD957"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lastRenderedPageBreak/>
        <w:t>3.</w:t>
      </w:r>
      <w:r w:rsidRPr="00152661">
        <w:rPr>
          <w:rFonts w:ascii="AytoRoquetas Light Condensed" w:hAnsi="AytoRoquetas Light Condensed" w:cs="Arial"/>
          <w:b/>
          <w:lang w:val="es-ES_tradnl"/>
        </w:rPr>
        <w:tab/>
        <w:t>Fase del gasto:</w:t>
      </w:r>
      <w:r w:rsidRPr="00152661">
        <w:rPr>
          <w:rFonts w:ascii="AytoRoquetas Light Condensed" w:hAnsi="AytoRoquetas Light Condensed" w:cs="Arial"/>
          <w:bCs/>
          <w:lang w:val="es-ES_tradnl"/>
        </w:rPr>
        <w:t xml:space="preserve"> ADO</w:t>
      </w:r>
    </w:p>
    <w:p w14:paraId="1691C662" w14:textId="17C2B168"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4.</w:t>
      </w:r>
      <w:r w:rsidRPr="00152661">
        <w:rPr>
          <w:rFonts w:ascii="AytoRoquetas Light Condensed" w:hAnsi="AytoRoquetas Light Condensed" w:cs="Arial"/>
          <w:b/>
          <w:lang w:val="es-ES_tradnl"/>
        </w:rPr>
        <w:tab/>
        <w:t>Importe de la fase del gasto</w:t>
      </w:r>
      <w:r w:rsidRPr="00152661">
        <w:rPr>
          <w:rFonts w:ascii="AytoRoquetas Light Condensed" w:hAnsi="AytoRoquetas Light Condensed" w:cs="Arial"/>
          <w:bCs/>
          <w:lang w:val="es-ES_tradnl"/>
        </w:rPr>
        <w:t xml:space="preserve">: </w:t>
      </w:r>
      <w:r w:rsidR="002146A4">
        <w:rPr>
          <w:rFonts w:ascii="AytoRoquetas Light Condensed" w:hAnsi="AytoRoquetas Light Condensed" w:cs="Arial"/>
          <w:bCs/>
          <w:lang w:val="es-ES_tradnl"/>
        </w:rPr>
        <w:t>19.847,03</w:t>
      </w:r>
      <w:r w:rsidRPr="00152661">
        <w:rPr>
          <w:rFonts w:ascii="AytoRoquetas Light Condensed" w:hAnsi="AytoRoquetas Light Condensed" w:cs="Arial"/>
          <w:bCs/>
          <w:lang w:val="es-ES_tradnl"/>
        </w:rPr>
        <w:t xml:space="preserve"> €</w:t>
      </w:r>
    </w:p>
    <w:p w14:paraId="71746707"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5.</w:t>
      </w:r>
      <w:r w:rsidRPr="00152661">
        <w:rPr>
          <w:rFonts w:ascii="AytoRoquetas Light Condensed" w:hAnsi="AytoRoquetas Light Condensed" w:cs="Arial"/>
          <w:b/>
          <w:lang w:val="es-ES_tradnl"/>
        </w:rPr>
        <w:tab/>
        <w:t>Aplicación presupuestaria:</w:t>
      </w:r>
      <w:r w:rsidRPr="00152661">
        <w:rPr>
          <w:rFonts w:ascii="AytoRoquetas Light Condensed" w:hAnsi="AytoRoquetas Light Condensed" w:cs="Arial"/>
          <w:bCs/>
          <w:lang w:val="es-ES_tradnl"/>
        </w:rPr>
        <w:t xml:space="preserve">  </w:t>
      </w:r>
    </w:p>
    <w:p w14:paraId="62872B9D" w14:textId="4DC273CD" w:rsidR="0092485A" w:rsidRPr="00152661" w:rsidRDefault="002146A4" w:rsidP="002146A4">
      <w:pPr>
        <w:ind w:firstLine="708"/>
        <w:jc w:val="both"/>
        <w:rPr>
          <w:rFonts w:ascii="AytoRoquetas Light Condensed" w:hAnsi="AytoRoquetas Light Condensed" w:cs="Arial"/>
          <w:bCs/>
          <w:lang w:val="es-ES_tradnl"/>
        </w:rPr>
      </w:pPr>
      <w:r>
        <w:rPr>
          <w:rFonts w:ascii="AytoRoquetas Light Condensed" w:hAnsi="AytoRoquetas Light Condensed" w:cs="Arial"/>
          <w:bCs/>
          <w:lang w:val="es-ES_tradnl"/>
        </w:rPr>
        <w:t>2025  161 22706</w:t>
      </w:r>
    </w:p>
    <w:p w14:paraId="76A11C45" w14:textId="77777777" w:rsidR="0092485A" w:rsidRPr="00152661" w:rsidRDefault="0092485A" w:rsidP="0092485A">
      <w:pPr>
        <w:ind w:left="720"/>
        <w:jc w:val="both"/>
        <w:rPr>
          <w:rFonts w:ascii="AytoRoquetas Light Condensed" w:hAnsi="AytoRoquetas Light Condensed" w:cs="Arial"/>
          <w:bCs/>
          <w:lang w:val="es-ES_tradnl"/>
        </w:rPr>
      </w:pPr>
    </w:p>
    <w:p w14:paraId="1DC67509"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6.</w:t>
      </w:r>
      <w:r w:rsidRPr="00152661">
        <w:rPr>
          <w:rFonts w:ascii="AytoRoquetas Light Condensed" w:hAnsi="AytoRoquetas Light Condensed" w:cs="Arial"/>
          <w:b/>
          <w:lang w:val="es-ES_tradnl"/>
        </w:rPr>
        <w:tab/>
        <w:t xml:space="preserve">Órgano competente de aprobación de esta fase del gasto: </w:t>
      </w:r>
      <w:r w:rsidRPr="00152661">
        <w:rPr>
          <w:rFonts w:ascii="AytoRoquetas Light Condensed" w:hAnsi="AytoRoquetas Light Condensed" w:cs="Arial"/>
          <w:bCs/>
          <w:lang w:val="es-ES_tradnl"/>
        </w:rPr>
        <w:t>Presidente</w:t>
      </w:r>
    </w:p>
    <w:p w14:paraId="6184986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7.</w:t>
      </w:r>
      <w:r w:rsidRPr="00152661">
        <w:rPr>
          <w:rFonts w:ascii="AytoRoquetas Light Condensed" w:hAnsi="AytoRoquetas Light Condensed" w:cs="Arial"/>
          <w:b/>
          <w:lang w:val="es-ES_tradnl"/>
        </w:rPr>
        <w:tab/>
        <w:t>Ejercicio económico al que se imputa el gasto:</w:t>
      </w:r>
      <w:r w:rsidRPr="00152661">
        <w:rPr>
          <w:rFonts w:ascii="AytoRoquetas Light Condensed" w:hAnsi="AytoRoquetas Light Condensed" w:cs="Arial"/>
          <w:bCs/>
          <w:lang w:val="es-ES_tradnl"/>
        </w:rPr>
        <w:t xml:space="preserve"> 202</w:t>
      </w:r>
      <w:r>
        <w:rPr>
          <w:rFonts w:ascii="AytoRoquetas Light Condensed" w:hAnsi="AytoRoquetas Light Condensed" w:cs="Arial"/>
          <w:bCs/>
          <w:lang w:val="es-ES_tradnl"/>
        </w:rPr>
        <w:t>5</w:t>
      </w:r>
    </w:p>
    <w:p w14:paraId="36D6D7B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8.</w:t>
      </w:r>
      <w:r w:rsidRPr="00152661">
        <w:rPr>
          <w:rFonts w:ascii="AytoRoquetas Light Condensed" w:hAnsi="AytoRoquetas Light Condensed" w:cs="Arial"/>
          <w:b/>
          <w:lang w:val="es-ES_tradnl"/>
        </w:rPr>
        <w:tab/>
        <w:t>Motivo omisión función interventora:</w:t>
      </w:r>
      <w:r w:rsidRPr="00152661">
        <w:rPr>
          <w:rFonts w:ascii="AytoRoquetas Light Condensed" w:hAnsi="AytoRoquetas Light Condensed" w:cs="Arial"/>
          <w:bCs/>
          <w:lang w:val="es-ES_tradnl"/>
        </w:rPr>
        <w:t xml:space="preserve"> Falta de tramitación del correspondiente expediente.</w:t>
      </w:r>
    </w:p>
    <w:p w14:paraId="6B1D974F" w14:textId="77777777" w:rsidR="0092485A" w:rsidRPr="00152661" w:rsidRDefault="0092485A" w:rsidP="0092485A">
      <w:pPr>
        <w:jc w:val="both"/>
        <w:rPr>
          <w:rFonts w:ascii="AytoRoquetas Light Condensed" w:hAnsi="AytoRoquetas Light Condensed" w:cs="Arial"/>
          <w:bCs/>
          <w:lang w:val="es-ES_tradnl"/>
        </w:rPr>
      </w:pPr>
    </w:p>
    <w:p w14:paraId="6942B51F" w14:textId="6678CE27" w:rsidR="0092485A" w:rsidRPr="00152661"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t>SEPTIMO</w:t>
      </w:r>
      <w:r w:rsidRPr="00C37224">
        <w:rPr>
          <w:rFonts w:ascii="AytoRoquetas Light Condensed" w:hAnsi="AytoRoquetas Light Condensed" w:cs="Arial"/>
          <w:bCs/>
        </w:rPr>
        <w:t>. -</w:t>
      </w:r>
      <w:r w:rsidR="0092485A" w:rsidRPr="00C37224">
        <w:rPr>
          <w:rFonts w:ascii="AytoRoquetas Light Condensed" w:hAnsi="AytoRoquetas Light Condensed" w:cs="Arial"/>
          <w:bCs/>
        </w:rPr>
        <w:t>A pesar de la existencia de los incumplimientos normativos m</w:t>
      </w:r>
      <w:r w:rsidR="0092485A" w:rsidRPr="00152661">
        <w:rPr>
          <w:rFonts w:ascii="AytoRoquetas Light Condensed" w:hAnsi="AytoRoquetas Light Condensed" w:cs="Arial"/>
          <w:bCs/>
        </w:rPr>
        <w:t>á</w:t>
      </w:r>
      <w:r w:rsidR="0092485A" w:rsidRPr="00C37224">
        <w:rPr>
          <w:rFonts w:ascii="AytoRoquetas Light Condensed" w:hAnsi="AytoRoquetas Light Condensed" w:cs="Arial"/>
          <w:bCs/>
        </w:rPr>
        <w:t>s arriba señalados, y</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toda vez que las prestaciones a que se refiere la</w:t>
      </w:r>
      <w:r>
        <w:rPr>
          <w:rFonts w:ascii="AytoRoquetas Light Condensed" w:hAnsi="AytoRoquetas Light Condensed" w:cs="Arial"/>
          <w:bCs/>
        </w:rPr>
        <w:t>s</w:t>
      </w:r>
      <w:r w:rsidR="0092485A" w:rsidRPr="00C37224">
        <w:rPr>
          <w:rFonts w:ascii="AytoRoquetas Light Condensed" w:hAnsi="AytoRoquetas Light Condensed" w:cs="Arial"/>
          <w:bCs/>
        </w:rPr>
        <w:t xml:space="preserve"> factura</w:t>
      </w:r>
      <w:r>
        <w:rPr>
          <w:rFonts w:ascii="AytoRoquetas Light Condensed" w:hAnsi="AytoRoquetas Light Condensed" w:cs="Arial"/>
          <w:bCs/>
        </w:rPr>
        <w:t>s</w:t>
      </w:r>
      <w:r w:rsidR="0092485A" w:rsidRPr="00C37224">
        <w:rPr>
          <w:rFonts w:ascii="AytoRoquetas Light Condensed" w:hAnsi="AytoRoquetas Light Condensed" w:cs="Arial"/>
          <w:bCs/>
        </w:rPr>
        <w:t xml:space="preserve"> se han realizado a satisfac</w:t>
      </w:r>
      <w:r w:rsidR="0092485A" w:rsidRPr="00152661">
        <w:rPr>
          <w:rFonts w:ascii="AytoRoquetas Light Condensed" w:hAnsi="AytoRoquetas Light Condensed" w:cs="Arial"/>
          <w:bCs/>
        </w:rPr>
        <w:t>c</w:t>
      </w:r>
      <w:r w:rsidR="0092485A" w:rsidRPr="00C37224">
        <w:rPr>
          <w:rFonts w:ascii="AytoRoquetas Light Condensed" w:hAnsi="AytoRoquetas Light Condensed" w:cs="Arial"/>
          <w:bCs/>
        </w:rPr>
        <w:t>ión del</w:t>
      </w:r>
      <w:r w:rsidR="0092485A" w:rsidRPr="00152661">
        <w:rPr>
          <w:rFonts w:ascii="AytoRoquetas Light Condensed" w:hAnsi="AytoRoquetas Light Condensed" w:cs="Arial"/>
          <w:bCs/>
        </w:rPr>
        <w:t xml:space="preserve"> Consorcio</w:t>
      </w:r>
      <w:r w:rsidR="0092485A" w:rsidRPr="00C37224">
        <w:rPr>
          <w:rFonts w:ascii="AytoRoquetas Light Condensed" w:hAnsi="AytoRoquetas Light Condensed" w:cs="Arial"/>
          <w:bCs/>
        </w:rPr>
        <w:t>, se hace necesario compensar al contratista para evitar el enriquecimiento</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injusto. La prohibición del enriquecimiento injusto se ha consolidado jurisprudencialmente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como una verdadera acción que tiene el objetivo de compensar al contratista por el importe de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 xml:space="preserve">las prestaciones llevadas a cabo en beneficio del </w:t>
      </w:r>
      <w:r>
        <w:rPr>
          <w:rFonts w:ascii="AytoRoquetas Light Condensed" w:hAnsi="AytoRoquetas Light Condensed" w:cs="Arial"/>
          <w:bCs/>
        </w:rPr>
        <w:t>Consorcio</w:t>
      </w:r>
      <w:r w:rsidR="0092485A" w:rsidRPr="00C37224">
        <w:rPr>
          <w:rFonts w:ascii="AytoRoquetas Light Condensed" w:hAnsi="AytoRoquetas Light Condensed" w:cs="Arial"/>
          <w:bCs/>
        </w:rPr>
        <w:t xml:space="preserve"> (entre otras sentencia del TS de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12 de Diciembre de 2012, ROJ: STS 8362/2012, o el dictamen del Consejo de Estado de 29 de</w:t>
      </w:r>
      <w:r w:rsidR="0092485A" w:rsidRPr="00152661">
        <w:rPr>
          <w:rFonts w:ascii="AytoRoquetas Light Condensed" w:hAnsi="AytoRoquetas Light Condensed" w:cs="Arial"/>
          <w:bCs/>
        </w:rPr>
        <w:t xml:space="preserve"> Noviembre de 2007).</w:t>
      </w:r>
    </w:p>
    <w:p w14:paraId="3F2B572E" w14:textId="77777777" w:rsidR="0092485A" w:rsidRPr="00152661" w:rsidRDefault="0092485A" w:rsidP="0092485A">
      <w:pPr>
        <w:jc w:val="both"/>
        <w:rPr>
          <w:rFonts w:ascii="AytoRoquetas Light Condensed" w:hAnsi="AytoRoquetas Light Condensed" w:cs="Arial"/>
          <w:bCs/>
        </w:rPr>
      </w:pPr>
    </w:p>
    <w:p w14:paraId="7CBC4F48" w14:textId="4C48EEB4" w:rsidR="0092485A" w:rsidRPr="00152661"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t>OCTAVO. -</w:t>
      </w:r>
      <w:r w:rsidR="0092485A" w:rsidRPr="00C37224">
        <w:rPr>
          <w:rFonts w:ascii="AytoRoquetas Light Condensed" w:hAnsi="AytoRoquetas Light Condensed" w:cs="Arial"/>
          <w:bCs/>
        </w:rPr>
        <w:t>De conformidad con lo previsto en el art 28 del RCIL, por parte de esta Intervención</w:t>
      </w:r>
      <w:r w:rsidR="0092485A" w:rsidRPr="00152661">
        <w:rPr>
          <w:rFonts w:ascii="AytoRoquetas Light Condensed" w:hAnsi="AytoRoquetas Light Condensed" w:cs="Arial"/>
          <w:bCs/>
        </w:rPr>
        <w:t xml:space="preserve"> s</w:t>
      </w:r>
      <w:r w:rsidR="0092485A" w:rsidRPr="00C37224">
        <w:rPr>
          <w:rFonts w:ascii="AytoRoquetas Light Condensed" w:hAnsi="AytoRoquetas Light Condensed" w:cs="Arial"/>
          <w:bCs/>
        </w:rPr>
        <w:t xml:space="preserve">e entiende que por razones de economía procesal </w:t>
      </w:r>
      <w:r w:rsidR="0092485A" w:rsidRPr="00152661">
        <w:rPr>
          <w:rFonts w:ascii="AytoRoquetas Light Condensed" w:hAnsi="AytoRoquetas Light Condensed" w:cs="Arial"/>
          <w:bCs/>
        </w:rPr>
        <w:t xml:space="preserve">puede </w:t>
      </w:r>
      <w:r w:rsidR="0092485A" w:rsidRPr="00C37224">
        <w:rPr>
          <w:rFonts w:ascii="AytoRoquetas Light Condensed" w:hAnsi="AytoRoquetas Light Condensed" w:cs="Arial"/>
          <w:bCs/>
        </w:rPr>
        <w:t>procede</w:t>
      </w:r>
      <w:r w:rsidR="0092485A" w:rsidRPr="00152661">
        <w:rPr>
          <w:rFonts w:ascii="AytoRoquetas Light Condensed" w:hAnsi="AytoRoquetas Light Condensed" w:cs="Arial"/>
          <w:bCs/>
        </w:rPr>
        <w:t>r</w:t>
      </w:r>
      <w:r w:rsidR="0092485A" w:rsidRPr="00C37224">
        <w:rPr>
          <w:rFonts w:ascii="AytoRoquetas Light Condensed" w:hAnsi="AytoRoquetas Light Condensed" w:cs="Arial"/>
          <w:bCs/>
        </w:rPr>
        <w:t xml:space="preserve"> la convalidación de los</w:t>
      </w:r>
      <w:r w:rsidR="0092485A" w:rsidRPr="00152661">
        <w:rPr>
          <w:rFonts w:ascii="AytoRoquetas Light Condensed" w:hAnsi="AytoRoquetas Light Condensed" w:cs="Arial"/>
          <w:bCs/>
        </w:rPr>
        <w:t xml:space="preserve"> i</w:t>
      </w:r>
      <w:r w:rsidR="0092485A" w:rsidRPr="00C37224">
        <w:rPr>
          <w:rFonts w:ascii="AytoRoquetas Light Condensed" w:hAnsi="AytoRoquetas Light Condensed" w:cs="Arial"/>
          <w:bCs/>
        </w:rPr>
        <w:t>ncumplimientos m</w:t>
      </w:r>
      <w:r w:rsidR="0092485A" w:rsidRPr="00152661">
        <w:rPr>
          <w:rFonts w:ascii="AytoRoquetas Light Condensed" w:hAnsi="AytoRoquetas Light Condensed" w:cs="Arial"/>
          <w:bCs/>
        </w:rPr>
        <w:t>á</w:t>
      </w:r>
      <w:r w:rsidR="0092485A" w:rsidRPr="00C37224">
        <w:rPr>
          <w:rFonts w:ascii="AytoRoquetas Light Condensed" w:hAnsi="AytoRoquetas Light Condensed" w:cs="Arial"/>
          <w:bCs/>
        </w:rPr>
        <w:t>s arriba indicados, y en virtud del principio de prohibición del</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enriquecimiento injusto, procede reconocer la obligación a favor del contratista, ya que si se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acude a la revisión de oficio se presume que el importe de la indemnización no va a ser menor</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que el que aquí se propone. La convalidación que aquí se propone supone una convalidación del</w:t>
      </w:r>
      <w:r w:rsidR="0092485A" w:rsidRPr="00152661">
        <w:rPr>
          <w:rFonts w:ascii="AytoRoquetas Light Condensed" w:hAnsi="AytoRoquetas Light Condensed" w:cs="Arial"/>
          <w:bCs/>
        </w:rPr>
        <w:t xml:space="preserve"> </w:t>
      </w:r>
      <w:r w:rsidRPr="00C37224">
        <w:rPr>
          <w:rFonts w:ascii="AytoRoquetas Light Condensed" w:hAnsi="AytoRoquetas Light Condensed" w:cs="Arial"/>
          <w:bCs/>
        </w:rPr>
        <w:t>gasto,</w:t>
      </w:r>
      <w:r w:rsidR="0092485A" w:rsidRPr="00C37224">
        <w:rPr>
          <w:rFonts w:ascii="AytoRoquetas Light Condensed" w:hAnsi="AytoRoquetas Light Condensed" w:cs="Arial"/>
          <w:bCs/>
        </w:rPr>
        <w:t xml:space="preserve"> pero ello no supone una subsanación de las irregularidades adicionales que se hayan</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 xml:space="preserve">producido, y por otra parte el pago que se va a realizar tiene la naturaleza de </w:t>
      </w:r>
      <w:r w:rsidRPr="00C37224">
        <w:rPr>
          <w:rFonts w:ascii="AytoRoquetas Light Condensed" w:hAnsi="AytoRoquetas Light Condensed" w:cs="Arial"/>
          <w:bCs/>
        </w:rPr>
        <w:t>compensación,</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pero no convalidada el resto de infracciones administrativas cometidas (sentencia de la</w:t>
      </w:r>
      <w:r w:rsidR="0092485A" w:rsidRPr="00152661">
        <w:rPr>
          <w:rFonts w:ascii="AytoRoquetas Light Condensed" w:hAnsi="AytoRoquetas Light Condensed" w:cs="Arial"/>
          <w:bCs/>
        </w:rPr>
        <w:t xml:space="preserve"> Audiencia Nacional 2666/2018 de 6 de Junio, rec.1007/2016).</w:t>
      </w:r>
    </w:p>
    <w:p w14:paraId="5F3A799C" w14:textId="77777777" w:rsidR="0092485A" w:rsidRPr="00152661" w:rsidRDefault="0092485A" w:rsidP="0092485A">
      <w:pPr>
        <w:jc w:val="both"/>
        <w:rPr>
          <w:rFonts w:ascii="AytoRoquetas Light Condensed" w:hAnsi="AytoRoquetas Light Condensed" w:cs="Arial"/>
          <w:b/>
        </w:rPr>
      </w:pPr>
    </w:p>
    <w:p w14:paraId="522F8A7E" w14:textId="77777777" w:rsidR="002146A4"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t>NOVENO</w:t>
      </w:r>
      <w:r w:rsidRPr="00C37224">
        <w:rPr>
          <w:rFonts w:ascii="AytoRoquetas Light Condensed" w:hAnsi="AytoRoquetas Light Condensed" w:cs="Arial"/>
          <w:bCs/>
        </w:rPr>
        <w:t>. -</w:t>
      </w:r>
      <w:r w:rsidR="0092485A" w:rsidRPr="00C37224">
        <w:rPr>
          <w:rFonts w:ascii="AytoRoquetas Light Condensed" w:hAnsi="AytoRoquetas Light Condensed" w:cs="Arial"/>
          <w:bCs/>
        </w:rPr>
        <w:t>En todo caso se ha de señalar que la indemnización para evitar el enriquecimiento</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injusto no tiene la naturaleza de obligación contractual, ya que las prestaciones fueron llevadas</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a cabo sin contrato, o en el caso de que exista contrato el mismo es nulo</w:t>
      </w:r>
      <w:r>
        <w:rPr>
          <w:rFonts w:ascii="AytoRoquetas Light Condensed" w:hAnsi="AytoRoquetas Light Condensed" w:cs="Arial"/>
          <w:bCs/>
        </w:rPr>
        <w:t>, debiéndose de considerar extinto el contrato que en su día fue suscrito en el año 2017.</w:t>
      </w:r>
    </w:p>
    <w:p w14:paraId="61584AA2" w14:textId="5DC10D7E" w:rsidR="0092485A" w:rsidRPr="00152661" w:rsidRDefault="0092485A" w:rsidP="0092485A">
      <w:pPr>
        <w:jc w:val="both"/>
        <w:rPr>
          <w:rFonts w:ascii="AytoRoquetas Light Condensed" w:hAnsi="AytoRoquetas Light Condensed" w:cs="Arial"/>
          <w:bCs/>
        </w:rPr>
      </w:pPr>
      <w:r w:rsidRPr="00C37224">
        <w:rPr>
          <w:rFonts w:ascii="AytoRoquetas Light Condensed" w:hAnsi="AytoRoquetas Light Condensed" w:cs="Arial"/>
          <w:bCs/>
        </w:rPr>
        <w:t>Tampoco ser</w:t>
      </w:r>
      <w:r w:rsidRPr="00152661">
        <w:rPr>
          <w:rFonts w:ascii="AytoRoquetas Light Condensed" w:hAnsi="AytoRoquetas Light Condensed" w:cs="Arial"/>
          <w:bCs/>
        </w:rPr>
        <w:t>í</w:t>
      </w:r>
      <w:r w:rsidRPr="00C37224">
        <w:rPr>
          <w:rFonts w:ascii="AytoRoquetas Light Condensed" w:hAnsi="AytoRoquetas Light Condensed" w:cs="Arial"/>
          <w:bCs/>
        </w:rPr>
        <w:t>a de aplicación lo establecido en el art</w:t>
      </w:r>
      <w:r w:rsidRPr="00152661">
        <w:rPr>
          <w:rFonts w:ascii="AytoRoquetas Light Condensed" w:hAnsi="AytoRoquetas Light Condensed" w:cs="Arial"/>
          <w:bCs/>
        </w:rPr>
        <w:t xml:space="preserve"> </w:t>
      </w:r>
      <w:r w:rsidRPr="00C37224">
        <w:rPr>
          <w:rFonts w:ascii="AytoRoquetas Light Condensed" w:hAnsi="AytoRoquetas Light Condensed" w:cs="Arial"/>
          <w:bCs/>
        </w:rPr>
        <w:t>198 apartado 4 de la LCSP respecto al pago de los intereses de demora e indemnización por los</w:t>
      </w:r>
      <w:r w:rsidRPr="00152661">
        <w:rPr>
          <w:rFonts w:ascii="AytoRoquetas Light Condensed" w:hAnsi="AytoRoquetas Light Condensed" w:cs="Arial"/>
          <w:bCs/>
        </w:rPr>
        <w:t xml:space="preserve"> </w:t>
      </w:r>
      <w:r w:rsidRPr="00C37224">
        <w:rPr>
          <w:rFonts w:ascii="AytoRoquetas Light Condensed" w:hAnsi="AytoRoquetas Light Condensed" w:cs="Arial"/>
          <w:bCs/>
        </w:rPr>
        <w:t>costes del cobro, precisamente porque la aplicación de este precepto exige la existencia de un</w:t>
      </w:r>
      <w:r w:rsidRPr="00152661">
        <w:rPr>
          <w:rFonts w:ascii="AytoRoquetas Light Condensed" w:hAnsi="AytoRoquetas Light Condensed" w:cs="Arial"/>
          <w:bCs/>
        </w:rPr>
        <w:t xml:space="preserve"> contrato valido, y en este caso no se da este presupuesto.</w:t>
      </w:r>
    </w:p>
    <w:p w14:paraId="13341773" w14:textId="77777777" w:rsidR="0092485A" w:rsidRPr="00152661" w:rsidRDefault="0092485A" w:rsidP="0092485A">
      <w:pPr>
        <w:jc w:val="both"/>
        <w:rPr>
          <w:rFonts w:ascii="AytoRoquetas Light Condensed" w:hAnsi="AytoRoquetas Light Condensed" w:cs="Arial"/>
          <w:bCs/>
        </w:rPr>
      </w:pPr>
    </w:p>
    <w:p w14:paraId="50744E26" w14:textId="7A93559E" w:rsidR="0092485A" w:rsidRPr="00C37224"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lastRenderedPageBreak/>
        <w:t>DECIMO</w:t>
      </w:r>
      <w:r w:rsidRPr="00C37224">
        <w:rPr>
          <w:rFonts w:ascii="AytoRoquetas Light Condensed" w:hAnsi="AytoRoquetas Light Condensed" w:cs="Arial"/>
          <w:bCs/>
        </w:rPr>
        <w:t>. -</w:t>
      </w:r>
      <w:r w:rsidR="0092485A" w:rsidRPr="00C37224">
        <w:rPr>
          <w:rFonts w:ascii="AytoRoquetas Light Condensed" w:hAnsi="AytoRoquetas Light Condensed" w:cs="Arial"/>
          <w:bCs/>
        </w:rPr>
        <w:t>El apartado 4 del art 28 del RCIL establece que el acuerdo que se adopte no eximirá</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de la exigencia de las responsabilidades a que, en su caso, hubiera lugar.</w:t>
      </w:r>
    </w:p>
    <w:p w14:paraId="18E6EA90" w14:textId="1F006493" w:rsidR="0092485A"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t>UNDECIMO. -</w:t>
      </w:r>
      <w:r w:rsidR="0092485A" w:rsidRPr="00C37224">
        <w:rPr>
          <w:rFonts w:ascii="AytoRoquetas Light Condensed" w:hAnsi="AytoRoquetas Light Condensed" w:cs="Arial"/>
          <w:bCs/>
        </w:rPr>
        <w:t>Sobre el órgano competente para aprobar la convalidación se ha de señalar, que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 xml:space="preserve">conforme el art 28 del RCIL, el órgano competente será el </w:t>
      </w:r>
      <w:r w:rsidR="0092485A" w:rsidRPr="00152661">
        <w:rPr>
          <w:rFonts w:ascii="AytoRoquetas Light Condensed" w:hAnsi="AytoRoquetas Light Condensed" w:cs="Arial"/>
          <w:bCs/>
        </w:rPr>
        <w:t>Presidente</w:t>
      </w:r>
      <w:r w:rsidR="0092485A" w:rsidRPr="00C37224">
        <w:rPr>
          <w:rFonts w:ascii="AytoRoquetas Light Condensed" w:hAnsi="AytoRoquetas Light Condensed" w:cs="Arial"/>
          <w:bCs/>
        </w:rPr>
        <w:t xml:space="preserve"> o </w:t>
      </w:r>
      <w:r w:rsidR="0092485A" w:rsidRPr="00152661">
        <w:rPr>
          <w:rFonts w:ascii="AytoRoquetas Light Condensed" w:hAnsi="AytoRoquetas Light Condensed" w:cs="Arial"/>
          <w:bCs/>
        </w:rPr>
        <w:t xml:space="preserve">la Junta General </w:t>
      </w:r>
      <w:r w:rsidR="0092485A" w:rsidRPr="00C37224">
        <w:rPr>
          <w:rFonts w:ascii="AytoRoquetas Light Condensed" w:hAnsi="AytoRoquetas Light Condensed" w:cs="Arial"/>
          <w:bCs/>
        </w:rPr>
        <w:t>en función de la</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división de competencias en materia de contratación establecidas en la Disposición Adicional</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Segunda de la LCSP.</w:t>
      </w:r>
    </w:p>
    <w:p w14:paraId="6DC15939" w14:textId="77777777" w:rsidR="0092485A" w:rsidRPr="00C37224" w:rsidRDefault="0092485A" w:rsidP="0092485A">
      <w:pPr>
        <w:jc w:val="both"/>
        <w:rPr>
          <w:rFonts w:ascii="AytoRoquetas Light Condensed" w:hAnsi="AytoRoquetas Light Condensed" w:cs="Arial"/>
          <w:bCs/>
        </w:rPr>
      </w:pPr>
    </w:p>
    <w:p w14:paraId="2D88C16A" w14:textId="41EBA409" w:rsidR="0092485A" w:rsidRPr="00152661" w:rsidRDefault="002146A4" w:rsidP="0092485A">
      <w:pPr>
        <w:jc w:val="both"/>
        <w:rPr>
          <w:rFonts w:ascii="AytoRoquetas Light Condensed" w:hAnsi="AytoRoquetas Light Condensed" w:cs="Arial"/>
          <w:bCs/>
        </w:rPr>
      </w:pPr>
      <w:r w:rsidRPr="00C37224">
        <w:rPr>
          <w:rFonts w:ascii="AytoRoquetas Light Condensed" w:hAnsi="AytoRoquetas Light Condensed" w:cs="Arial"/>
          <w:b/>
        </w:rPr>
        <w:t>DECIMOSEGUNDO. -</w:t>
      </w:r>
      <w:r w:rsidR="0092485A" w:rsidRPr="00C37224">
        <w:rPr>
          <w:rFonts w:ascii="AytoRoquetas Light Condensed" w:hAnsi="AytoRoquetas Light Condensed" w:cs="Arial"/>
          <w:bCs/>
        </w:rPr>
        <w:t>Conforme establece el art 15, apartados 6 y 7 en concordancia con el art 28</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apartado 2 del RCIL, con ocasión de la dación de cuenta de la aprobación de la liquidación, se</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acompañar</w:t>
      </w:r>
      <w:r w:rsidR="0092485A" w:rsidRPr="00152661">
        <w:rPr>
          <w:rFonts w:ascii="AytoRoquetas Light Condensed" w:hAnsi="AytoRoquetas Light Condensed" w:cs="Arial"/>
          <w:bCs/>
        </w:rPr>
        <w:t>á</w:t>
      </w:r>
      <w:r w:rsidR="0092485A" w:rsidRPr="00C37224">
        <w:rPr>
          <w:rFonts w:ascii="AytoRoquetas Light Condensed" w:hAnsi="AytoRoquetas Light Condensed" w:cs="Arial"/>
          <w:bCs/>
        </w:rPr>
        <w:t xml:space="preserve"> los informes sobre omisión de la función interventora. Asimismo, con ocasión de la</w:t>
      </w:r>
      <w:r w:rsidR="0092485A" w:rsidRPr="00152661">
        <w:rPr>
          <w:rFonts w:ascii="AytoRoquetas Light Condensed" w:hAnsi="AytoRoquetas Light Condensed" w:cs="Arial"/>
          <w:bCs/>
        </w:rPr>
        <w:t xml:space="preserve"> </w:t>
      </w:r>
      <w:r w:rsidR="0092485A" w:rsidRPr="00C37224">
        <w:rPr>
          <w:rFonts w:ascii="AytoRoquetas Light Condensed" w:hAnsi="AytoRoquetas Light Condensed" w:cs="Arial"/>
          <w:bCs/>
        </w:rPr>
        <w:t>cuenta general se dar</w:t>
      </w:r>
      <w:r w:rsidR="0092485A" w:rsidRPr="00152661">
        <w:rPr>
          <w:rFonts w:ascii="AytoRoquetas Light Condensed" w:hAnsi="AytoRoquetas Light Condensed" w:cs="Arial"/>
          <w:bCs/>
        </w:rPr>
        <w:t>á</w:t>
      </w:r>
      <w:r w:rsidR="0092485A" w:rsidRPr="00C37224">
        <w:rPr>
          <w:rFonts w:ascii="AytoRoquetas Light Condensed" w:hAnsi="AytoRoquetas Light Condensed" w:cs="Arial"/>
          <w:bCs/>
        </w:rPr>
        <w:t xml:space="preserve"> cuenta al Tribunal de Cuentas de los expedientes tramitados a través del</w:t>
      </w:r>
      <w:r w:rsidR="0092485A">
        <w:rPr>
          <w:rFonts w:ascii="AytoRoquetas Light Condensed" w:hAnsi="AytoRoquetas Light Condensed" w:cs="Arial"/>
          <w:bCs/>
        </w:rPr>
        <w:t xml:space="preserve"> </w:t>
      </w:r>
      <w:r w:rsidR="0092485A" w:rsidRPr="00152661">
        <w:rPr>
          <w:rFonts w:ascii="AytoRoquetas Light Condensed" w:hAnsi="AytoRoquetas Light Condensed" w:cs="Arial"/>
          <w:bCs/>
        </w:rPr>
        <w:t>art 28 del RCIL.</w:t>
      </w:r>
    </w:p>
    <w:p w14:paraId="7270D3F3" w14:textId="77777777" w:rsidR="0092485A" w:rsidRPr="00152661" w:rsidRDefault="0092485A" w:rsidP="0092485A">
      <w:pPr>
        <w:jc w:val="both"/>
        <w:rPr>
          <w:rFonts w:ascii="AytoRoquetas Light Condensed" w:hAnsi="AytoRoquetas Light Condensed" w:cs="Arial"/>
          <w:b/>
          <w:lang w:val="es-ES_tradnl"/>
        </w:rPr>
      </w:pPr>
    </w:p>
    <w:p w14:paraId="1F19338F" w14:textId="77777777" w:rsidR="0092485A"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
          <w:lang w:val="es-ES_tradnl"/>
        </w:rPr>
        <w:t>DECIMOTERCERO</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E</w:t>
      </w:r>
      <w:r>
        <w:rPr>
          <w:rFonts w:ascii="AytoRoquetas Light Condensed" w:hAnsi="AytoRoquetas Light Condensed" w:cs="Arial"/>
          <w:bCs/>
          <w:lang w:val="es-ES_tradnl"/>
        </w:rPr>
        <w:t>n relación al</w:t>
      </w:r>
      <w:r w:rsidRPr="00152661">
        <w:rPr>
          <w:rFonts w:ascii="AytoRoquetas Light Condensed" w:hAnsi="AytoRoquetas Light Condensed" w:cs="Arial"/>
          <w:bCs/>
          <w:lang w:val="es-ES_tradnl"/>
        </w:rPr>
        <w:t xml:space="preserve"> R</w:t>
      </w:r>
      <w:r>
        <w:rPr>
          <w:rFonts w:ascii="AytoRoquetas Light Condensed" w:hAnsi="AytoRoquetas Light Condensed" w:cs="Arial"/>
          <w:bCs/>
          <w:lang w:val="es-ES_tradnl"/>
        </w:rPr>
        <w:t xml:space="preserve">econocimiento extrajudicial de crédito, </w:t>
      </w:r>
      <w:r w:rsidRPr="00152661">
        <w:rPr>
          <w:rFonts w:ascii="AytoRoquetas Light Condensed" w:hAnsi="AytoRoquetas Light Condensed" w:cs="Arial"/>
          <w:bCs/>
          <w:lang w:val="es-ES_tradnl"/>
        </w:rPr>
        <w:t>es una figura que se ha utilizado (y sigue utilizándose de manera indebida) para convalidar</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aquellos gastos que incurrían en flagrantes irregularidades como la inexistencia de crédito, la ausencia total</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de procedimiento, los excesos de obra,...Se acudía al REC para conseguir abonar al proveedor esos gastos</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utilizándose la vía de evitar el enriquecimiento injusto de la Administración y evitando asimismo la costosa</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vía de reclamar esos gastos por la vía judicial. También se ha utilizado por los órganos gestores</w:t>
      </w:r>
      <w:r>
        <w:rPr>
          <w:rFonts w:ascii="AytoRoquetas Light Condensed" w:hAnsi="AytoRoquetas Light Condensed" w:cs="Arial"/>
          <w:bCs/>
          <w:lang w:val="es-ES_tradnl"/>
        </w:rPr>
        <w:t>.</w:t>
      </w:r>
    </w:p>
    <w:p w14:paraId="24DBB072" w14:textId="77777777" w:rsidR="0092485A" w:rsidRDefault="0092485A" w:rsidP="0092485A">
      <w:pPr>
        <w:jc w:val="both"/>
        <w:rPr>
          <w:rFonts w:ascii="AytoRoquetas Light Condensed" w:hAnsi="AytoRoquetas Light Condensed" w:cs="Arial"/>
          <w:bCs/>
          <w:lang w:val="es-ES_tradnl"/>
        </w:rPr>
      </w:pPr>
    </w:p>
    <w:p w14:paraId="1B0CC16F"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Las notas características del REC son las siguientes:</w:t>
      </w:r>
    </w:p>
    <w:p w14:paraId="536585C2" w14:textId="77777777" w:rsidR="0092485A"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1.- El RCIL no recoge el REC y la única regulación es la prevista en los art. 26.2.c) y 60.2 del RD</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 xml:space="preserve">500/1990. </w:t>
      </w:r>
    </w:p>
    <w:p w14:paraId="78C9336C"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Estos preceptos vienen a establecer:</w:t>
      </w:r>
    </w:p>
    <w:p w14:paraId="59C6AF2B"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a. Art. 26: con cargo al presupuesto del ejercicio corriente sólo se pueden reconocer obligaciones</w:t>
      </w:r>
    </w:p>
    <w:p w14:paraId="363AE50E"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derivadas de prestaciones que se realicen en el ejercicio, con las siguientes excepciones:</w:t>
      </w:r>
    </w:p>
    <w:p w14:paraId="0C721B29" w14:textId="77777777" w:rsidR="0092485A"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Los que resulten de atrasos a favor del personal.</w:t>
      </w:r>
    </w:p>
    <w:p w14:paraId="1088BBE7" w14:textId="77777777" w:rsidR="0092485A"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Las derivadas de compromisos de gastos debidamente adquiridos en ejercicios anteriores.</w:t>
      </w:r>
    </w:p>
    <w:p w14:paraId="689D55BF" w14:textId="77777777" w:rsidR="0092485A" w:rsidRDefault="0092485A" w:rsidP="0092485A">
      <w:pPr>
        <w:pStyle w:val="Prrafodelista"/>
        <w:widowControl w:val="0"/>
        <w:numPr>
          <w:ilvl w:val="0"/>
          <w:numId w:val="1"/>
        </w:numPr>
        <w:suppressAutoHyphens/>
        <w:spacing w:after="0" w:line="240" w:lineRule="auto"/>
        <w:contextualSpacing w:val="0"/>
        <w:jc w:val="both"/>
        <w:rPr>
          <w:rFonts w:ascii="AytoRoquetas Light Condensed" w:hAnsi="AytoRoquetas Light Condensed" w:cs="Arial"/>
          <w:bCs/>
          <w:lang w:val="es-ES_tradnl"/>
        </w:rPr>
      </w:pPr>
      <w:r>
        <w:rPr>
          <w:rFonts w:ascii="AytoRoquetas Light Condensed" w:hAnsi="AytoRoquetas Light Condensed" w:cs="Arial"/>
          <w:bCs/>
          <w:lang w:val="es-ES_tradnl"/>
        </w:rPr>
        <w:t>L</w:t>
      </w:r>
      <w:r w:rsidRPr="00152661">
        <w:rPr>
          <w:rFonts w:ascii="AytoRoquetas Light Condensed" w:hAnsi="AytoRoquetas Light Condensed" w:cs="Arial"/>
          <w:bCs/>
          <w:lang w:val="es-ES_tradnl"/>
        </w:rPr>
        <w:t>as que se refieren al art. 60-2</w:t>
      </w:r>
    </w:p>
    <w:p w14:paraId="76EF6F81" w14:textId="77777777" w:rsidR="0092485A" w:rsidRPr="00152661" w:rsidRDefault="0092485A" w:rsidP="0092485A">
      <w:pPr>
        <w:pStyle w:val="Prrafodelista"/>
        <w:jc w:val="both"/>
        <w:rPr>
          <w:rFonts w:ascii="AytoRoquetas Light Condensed" w:hAnsi="AytoRoquetas Light Condensed" w:cs="Arial"/>
          <w:bCs/>
          <w:lang w:val="es-ES_tradnl"/>
        </w:rPr>
      </w:pPr>
    </w:p>
    <w:p w14:paraId="5A959003" w14:textId="77777777" w:rsidR="0092485A"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b. Art. 60: la competencia para el reconocimiento de las obligaciones corresponde:</w:t>
      </w:r>
    </w:p>
    <w:p w14:paraId="36C2AF83" w14:textId="77777777" w:rsidR="0092485A" w:rsidRDefault="0092485A"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Al presidente cuando los compromisos de gastos estén debidamente adquiridos.</w:t>
      </w:r>
    </w:p>
    <w:p w14:paraId="65D4080F" w14:textId="77777777" w:rsidR="0092485A" w:rsidRPr="00152661" w:rsidRDefault="0092485A" w:rsidP="0092485A">
      <w:pPr>
        <w:jc w:val="both"/>
        <w:rPr>
          <w:rFonts w:ascii="AytoRoquetas Light Condensed" w:hAnsi="AytoRoquetas Light Condensed" w:cs="Arial"/>
          <w:bCs/>
          <w:lang w:val="es-ES_tradnl"/>
        </w:rPr>
      </w:pP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Al Pleno mediante REC, siempre que no exista dotación presupuestaria.</w:t>
      </w:r>
    </w:p>
    <w:p w14:paraId="12460EA1" w14:textId="77777777" w:rsidR="0092485A" w:rsidRDefault="0092485A" w:rsidP="0092485A">
      <w:pPr>
        <w:jc w:val="both"/>
        <w:rPr>
          <w:rFonts w:ascii="AytoRoquetas Light Condensed" w:hAnsi="AytoRoquetas Light Condensed" w:cs="Arial"/>
          <w:bCs/>
          <w:lang w:val="es-ES_tradnl"/>
        </w:rPr>
      </w:pPr>
    </w:p>
    <w:p w14:paraId="24ABEE89"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El RD 500/1990 es una norma presupuestaria y los art. 26.2.c) y 60.2 lo único que habilitan es la</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posibilidad de su uso para imputar al presupuesto del ejercicio corriente obligaciones vencidas y</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lastRenderedPageBreak/>
        <w:t>exigibles procedentes de ejercicios anteriores. Esto implica que cuando estamos ante obligaciones</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el ejercicio corriente nunca puede haber un supuesto de REC, ya que el REC está íntimamente</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relacionado con el principio de anualidad presupuestaria.</w:t>
      </w:r>
    </w:p>
    <w:p w14:paraId="72EAD283" w14:textId="77777777" w:rsidR="0092485A" w:rsidRDefault="0092485A" w:rsidP="0092485A">
      <w:pPr>
        <w:jc w:val="both"/>
        <w:rPr>
          <w:rFonts w:ascii="AytoRoquetas Light Condensed" w:hAnsi="AytoRoquetas Light Condensed" w:cs="Arial"/>
          <w:bCs/>
          <w:lang w:val="es-ES_tradnl"/>
        </w:rPr>
      </w:pPr>
    </w:p>
    <w:p w14:paraId="359AD624" w14:textId="77777777" w:rsidR="0092485A" w:rsidRPr="00152661" w:rsidRDefault="0092485A" w:rsidP="0092485A">
      <w:pPr>
        <w:ind w:firstLine="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El REC lo único que permite es una convalidación presupuestaria, no una convalidación</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procedimental. De tal modo y a la vista de los pronunciamientos judiciales existentes, cuando existe</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una causa de nulidad de pleno derecho, el procedimiento legalmente habilitado para imputar a</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presupuesto el gasto es a través de la vía del art. 28 del RCIL (que puede incluir la revisión de oficio).</w:t>
      </w:r>
    </w:p>
    <w:p w14:paraId="1015E1F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El REC sólo serviría si del procedimiento del art. 28 resultara además que el gasto tiene su origen en</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el los ejercicios “n-1, n-2,...” y se pretendiera imputar al ejercicio “n”.</w:t>
      </w:r>
    </w:p>
    <w:p w14:paraId="3289C39A" w14:textId="77777777" w:rsidR="0092485A" w:rsidRDefault="0092485A" w:rsidP="0092485A">
      <w:pPr>
        <w:jc w:val="both"/>
        <w:rPr>
          <w:rFonts w:ascii="AytoRoquetas Light Condensed" w:hAnsi="AytoRoquetas Light Condensed" w:cs="Arial"/>
          <w:bCs/>
          <w:lang w:val="es-ES_tradnl"/>
        </w:rPr>
      </w:pPr>
    </w:p>
    <w:p w14:paraId="6A21B7BF" w14:textId="77777777" w:rsidR="0092485A" w:rsidRPr="00152661" w:rsidRDefault="0092485A" w:rsidP="0092485A">
      <w:pPr>
        <w:ind w:firstLine="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Según el art. 176 del TRLRHL, al ejercicio presupuestario únicamente se le pueden imputar gastos que</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tengan su origen en el propio ejercicio presupuestario. Esto sencillamente significa que el presupuesto</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 xml:space="preserve">que aprueba </w:t>
      </w:r>
      <w:r>
        <w:rPr>
          <w:rFonts w:ascii="AytoRoquetas Light Condensed" w:hAnsi="AytoRoquetas Light Condensed" w:cs="Arial"/>
          <w:bCs/>
          <w:lang w:val="es-ES_tradnl"/>
        </w:rPr>
        <w:t>la Junta General del Consorcio</w:t>
      </w:r>
      <w:r w:rsidRPr="00152661">
        <w:rPr>
          <w:rFonts w:ascii="AytoRoquetas Light Condensed" w:hAnsi="AytoRoquetas Light Condensed" w:cs="Arial"/>
          <w:bCs/>
          <w:lang w:val="es-ES_tradnl"/>
        </w:rPr>
        <w:t xml:space="preserve"> sirve para dar cobertura a obligaciones “derivadas de</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adquisiciones, obras, servicios y demás prestaciones o gastos en general que se realicen en el año</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natural del propio ejercicio presupuestario”. De tal manera, si pretende imputar al ejercicio “n”</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 xml:space="preserve">obligaciones procedentes de ejercicios “n-1, n-2,...”, tendrá que dar su autorización </w:t>
      </w:r>
      <w:r>
        <w:rPr>
          <w:rFonts w:ascii="AytoRoquetas Light Condensed" w:hAnsi="AytoRoquetas Light Condensed" w:cs="Arial"/>
          <w:bCs/>
          <w:lang w:val="es-ES_tradnl"/>
        </w:rPr>
        <w:t>la Junta General del Consorcio</w:t>
      </w:r>
      <w:r w:rsidRPr="00152661">
        <w:rPr>
          <w:rFonts w:ascii="AytoRoquetas Light Condensed" w:hAnsi="AytoRoquetas Light Condensed" w:cs="Arial"/>
          <w:bCs/>
          <w:lang w:val="es-ES_tradnl"/>
        </w:rPr>
        <w:t xml:space="preserve"> (a salvo de las excepciones previstas en el art. 26 del RD 500/1990, relativas a atrasos</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 favor del personal o de gastos debidamente adquiridos en ejercicios anteriores).</w:t>
      </w:r>
    </w:p>
    <w:p w14:paraId="2A92FB32" w14:textId="77777777" w:rsidR="0092485A"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De tal suerte el REC se convierte en el mecanismo para imputar gastos al ejercicio “n” que tuvieron su</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origen en el ejercicio “n-1”, y que no se llegaron a imputar al ejercicio “n-1”, con lo que para la</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imputación presupuestaria al ejercicio “n” se precisa la correspondiente tramitación del</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correspondiente expediente de REC</w:t>
      </w:r>
      <w:r>
        <w:rPr>
          <w:rFonts w:ascii="AytoRoquetas Light Condensed" w:hAnsi="AytoRoquetas Light Condensed" w:cs="Arial"/>
          <w:bCs/>
          <w:lang w:val="es-ES_tradnl"/>
        </w:rPr>
        <w:t>.</w:t>
      </w:r>
      <w:r w:rsidRPr="00152661">
        <w:rPr>
          <w:rFonts w:ascii="AytoRoquetas Light Condensed" w:hAnsi="AytoRoquetas Light Condensed" w:cs="Arial"/>
          <w:bCs/>
          <w:lang w:val="es-ES_tradnl"/>
        </w:rPr>
        <w:t xml:space="preserve"> </w:t>
      </w:r>
    </w:p>
    <w:p w14:paraId="63BB7AB7" w14:textId="77777777" w:rsidR="0092485A" w:rsidRPr="00152661" w:rsidRDefault="0092485A" w:rsidP="0092485A">
      <w:pPr>
        <w:jc w:val="both"/>
        <w:rPr>
          <w:rFonts w:ascii="AytoRoquetas Light Condensed" w:hAnsi="AytoRoquetas Light Condensed" w:cs="Arial"/>
          <w:bCs/>
          <w:lang w:val="es-ES_tradnl"/>
        </w:rPr>
      </w:pPr>
    </w:p>
    <w:p w14:paraId="2A5F983F" w14:textId="77777777" w:rsidR="0092485A" w:rsidRPr="00152661" w:rsidRDefault="0092485A" w:rsidP="0092485A">
      <w:pPr>
        <w:ind w:firstLine="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Las diferencias entre el REC y la OFI son que en el caso del REC tratamos de gastos que tienen su</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origen en el ejercicio anterior. En el caso de la OFI, tratamos gastos que siendo precisa su fiscalización,</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se ha omitido este requisito. Por ello, lo normal es que los gastos a que se refiere la OFI tengan su</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origen en el ejercicio presente, aunque también pueden tener su origen en ejercicios anteriores.</w:t>
      </w:r>
    </w:p>
    <w:p w14:paraId="30607397" w14:textId="77777777" w:rsidR="0092485A" w:rsidRPr="00152661" w:rsidRDefault="0092485A" w:rsidP="0092485A">
      <w:pPr>
        <w:jc w:val="both"/>
        <w:rPr>
          <w:rFonts w:ascii="AytoRoquetas Light Condensed" w:hAnsi="AytoRoquetas Light Condensed" w:cs="Arial"/>
          <w:bCs/>
          <w:lang w:val="es-ES_tradnl"/>
        </w:rPr>
      </w:pPr>
    </w:p>
    <w:p w14:paraId="7F3F455D" w14:textId="77777777" w:rsidR="0092485A" w:rsidRPr="00152661" w:rsidRDefault="0092485A" w:rsidP="0092485A">
      <w:pPr>
        <w:ind w:firstLine="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El REC en ningún caso subsana los defectos que se puedan calificar de nulidad de pleno</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derecho, al margen de que se opte por el pago directo de las prestaciones materialmente</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llevadas a cabo.</w:t>
      </w:r>
    </w:p>
    <w:p w14:paraId="3954F500"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a. Se trata de un procedimiento excepcional.</w:t>
      </w:r>
    </w:p>
    <w:p w14:paraId="0B47D05A"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b. Que su aprobación corresponda al Pleno excepto en los municipios del título X,</w:t>
      </w:r>
    </w:p>
    <w:p w14:paraId="5D10CDE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correspondiendo entonces a la JGL.</w:t>
      </w:r>
    </w:p>
    <w:p w14:paraId="68B731FD"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c. Que sólo sea un instrumento de imputación presupuestaria para aquellos gastos</w:t>
      </w:r>
    </w:p>
    <w:p w14:paraId="57059D69"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lastRenderedPageBreak/>
        <w:t>en los que se dé un supuesto de nulidad de pleno derecho (con independencia de</w:t>
      </w:r>
    </w:p>
    <w:p w14:paraId="0D74B192"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que se haya instado su revisión de oficio o no).</w:t>
      </w:r>
    </w:p>
    <w:p w14:paraId="50CCDB25"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d. Que el expediente del REC contenga los siguientes documentos:</w:t>
      </w:r>
    </w:p>
    <w:p w14:paraId="5E00019E" w14:textId="77777777" w:rsidR="0092485A" w:rsidRPr="00152661" w:rsidRDefault="0092485A" w:rsidP="0092485A">
      <w:pPr>
        <w:ind w:left="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Informe del órgano gestor.</w:t>
      </w:r>
    </w:p>
    <w:p w14:paraId="414AE8CF" w14:textId="77777777" w:rsidR="0092485A" w:rsidRPr="00152661" w:rsidRDefault="0092485A" w:rsidP="0092485A">
      <w:pPr>
        <w:ind w:left="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Informe del servicio jurídico de la entidad.</w:t>
      </w:r>
    </w:p>
    <w:p w14:paraId="71D221F1" w14:textId="77777777" w:rsidR="0092485A" w:rsidRPr="00152661" w:rsidRDefault="0092485A" w:rsidP="0092485A">
      <w:pPr>
        <w:ind w:left="708"/>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Informe del Interventor en los términos del art. 28 del RCIL.</w:t>
      </w:r>
    </w:p>
    <w:p w14:paraId="256D051A" w14:textId="77777777" w:rsidR="0092485A" w:rsidRPr="00152661"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e. Que en la tramitación de estos expedientes se establezca el procedimiento para</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instar las medidas para exigir las responsabilidades a las autoridades y personal</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al servicio de la Entidad Local previstas en la Ley 19/2013 y disposición</w:t>
      </w:r>
      <w:r>
        <w:rPr>
          <w:rFonts w:ascii="AytoRoquetas Light Condensed" w:hAnsi="AytoRoquetas Light Condensed" w:cs="Arial"/>
          <w:bCs/>
          <w:lang w:val="es-ES_tradnl"/>
        </w:rPr>
        <w:t xml:space="preserve"> </w:t>
      </w:r>
      <w:r w:rsidRPr="00152661">
        <w:rPr>
          <w:rFonts w:ascii="AytoRoquetas Light Condensed" w:hAnsi="AytoRoquetas Light Condensed" w:cs="Arial"/>
          <w:bCs/>
          <w:lang w:val="es-ES_tradnl"/>
        </w:rPr>
        <w:t>adicional vigésimo octava de la LCSP.</w:t>
      </w:r>
    </w:p>
    <w:p w14:paraId="6269754F" w14:textId="77777777" w:rsidR="0092485A" w:rsidRPr="00152661" w:rsidRDefault="0092485A" w:rsidP="0092485A">
      <w:pPr>
        <w:jc w:val="both"/>
        <w:rPr>
          <w:rFonts w:ascii="AytoRoquetas Light Condensed" w:hAnsi="AytoRoquetas Light Condensed" w:cs="Arial"/>
          <w:bCs/>
          <w:lang w:val="es-ES_tradnl"/>
        </w:rPr>
      </w:pPr>
    </w:p>
    <w:p w14:paraId="02C640C1" w14:textId="01C91D3F" w:rsidR="0092485A" w:rsidRDefault="0092485A" w:rsidP="0092485A">
      <w:pPr>
        <w:jc w:val="both"/>
        <w:rPr>
          <w:rFonts w:ascii="AytoRoquetas Light Condensed" w:hAnsi="AytoRoquetas Light Condensed" w:cs="Arial"/>
          <w:bCs/>
          <w:lang w:val="es-ES_tradnl"/>
        </w:rPr>
      </w:pPr>
      <w:r w:rsidRPr="00152661">
        <w:rPr>
          <w:rFonts w:ascii="AytoRoquetas Light Condensed" w:hAnsi="AytoRoquetas Light Condensed" w:cs="Arial"/>
          <w:bCs/>
          <w:lang w:val="es-ES_tradnl"/>
        </w:rPr>
        <w:t xml:space="preserve">Como conclusión, </w:t>
      </w:r>
      <w:r>
        <w:rPr>
          <w:rFonts w:ascii="AytoRoquetas Light Condensed" w:hAnsi="AytoRoquetas Light Condensed" w:cs="Arial"/>
          <w:bCs/>
          <w:lang w:val="es-ES_tradnl"/>
        </w:rPr>
        <w:t>tras declarar la inexistencia jurídica de contratos</w:t>
      </w:r>
      <w:r w:rsidR="002146A4">
        <w:rPr>
          <w:rFonts w:ascii="AytoRoquetas Light Condensed" w:hAnsi="AytoRoquetas Light Condensed" w:cs="Arial"/>
          <w:bCs/>
          <w:lang w:val="es-ES_tradnl"/>
        </w:rPr>
        <w:t xml:space="preserve"> en vigor que amparen la prestación del servicio </w:t>
      </w:r>
      <w:r>
        <w:rPr>
          <w:rFonts w:ascii="AytoRoquetas Light Condensed" w:hAnsi="AytoRoquetas Light Condensed" w:cs="Arial"/>
          <w:bCs/>
          <w:lang w:val="es-ES_tradnl"/>
        </w:rPr>
        <w:t xml:space="preserve"> es necesario, que por la Junta General se apruebe Reconocimiento extrajudicial propuesto, para lo cual será necesario tramita modificación presupuestaria que garantice la existencia de crédito adecuado y suficiente de manera paralela</w:t>
      </w:r>
      <w:r w:rsidR="002146A4">
        <w:rPr>
          <w:rFonts w:ascii="AytoRoquetas Light Condensed" w:hAnsi="AytoRoquetas Light Condensed" w:cs="Arial"/>
          <w:bCs/>
          <w:lang w:val="es-ES_tradnl"/>
        </w:rPr>
        <w:t xml:space="preserve">, o en su caso, imputarse el gasto al crédito presupuestario del ejercicio corriente, siempre que no se genere menoscabo al normal funcionamiento de los servicios. </w:t>
      </w:r>
    </w:p>
    <w:p w14:paraId="2501B374" w14:textId="0C1C9BF8" w:rsidR="0092485A" w:rsidRDefault="002146A4" w:rsidP="0092485A">
      <w:pPr>
        <w:jc w:val="center"/>
        <w:rPr>
          <w:b/>
          <w:bCs/>
        </w:rPr>
      </w:pPr>
      <w:r>
        <w:rPr>
          <w:rFonts w:ascii="AytoRoquetas Light Condensed" w:hAnsi="AytoRoquetas Light Condensed" w:cs="Arial"/>
          <w:bCs/>
          <w:lang w:val="es-ES_tradnl"/>
        </w:rPr>
        <w:t>LA INTERVENTORA</w:t>
      </w:r>
    </w:p>
    <w:p w14:paraId="4D4E2AB4" w14:textId="407F7CDC" w:rsidR="0092485A" w:rsidRPr="002146A4" w:rsidRDefault="002146A4" w:rsidP="0092485A">
      <w:pPr>
        <w:jc w:val="center"/>
      </w:pPr>
      <w:r w:rsidRPr="002146A4">
        <w:t>Fdo. Dña. Dolores del Pilar González Espinosa</w:t>
      </w:r>
    </w:p>
    <w:p w14:paraId="4AC912C2" w14:textId="77777777" w:rsidR="0092485A" w:rsidRDefault="0092485A" w:rsidP="0092485A">
      <w:pPr>
        <w:ind w:firstLine="708"/>
        <w:jc w:val="both"/>
        <w:rPr>
          <w:rFonts w:ascii="AytoRoquetas Light Condensed" w:hAnsi="AytoRoquetas Light Condensed" w:cs="Arial"/>
          <w:bCs/>
        </w:rPr>
      </w:pPr>
    </w:p>
    <w:p w14:paraId="1EE16E60" w14:textId="77777777" w:rsidR="0092485A" w:rsidRDefault="0092485A" w:rsidP="0092485A">
      <w:pPr>
        <w:spacing w:line="360" w:lineRule="auto"/>
        <w:ind w:firstLine="708"/>
        <w:jc w:val="both"/>
      </w:pPr>
      <w:r w:rsidRPr="00EC5A71">
        <w:rPr>
          <w:rFonts w:ascii="Verdana" w:eastAsia="Verdana" w:hAnsi="Verdana" w:cs="Verdana"/>
          <w:sz w:val="20"/>
          <w:lang w:val="x-none" w:eastAsia="x-none"/>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FABEA33" w14:textId="77777777" w:rsidR="0092485A" w:rsidRPr="0092485A" w:rsidRDefault="0092485A" w:rsidP="0092485A"/>
    <w:sectPr w:rsidR="0092485A" w:rsidRPr="0092485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06D09"/>
    <w:multiLevelType w:val="hybridMultilevel"/>
    <w:tmpl w:val="CC92B396"/>
    <w:lvl w:ilvl="0" w:tplc="F0BE7130">
      <w:numFmt w:val="bullet"/>
      <w:lvlText w:val="-"/>
      <w:lvlJc w:val="left"/>
      <w:pPr>
        <w:ind w:left="720" w:hanging="360"/>
      </w:pPr>
      <w:rPr>
        <w:rFonts w:ascii="AytoRoquetas Light Condensed" w:eastAsia="Times New Roman" w:hAnsi="AytoRoquetas Light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5446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85A"/>
    <w:rsid w:val="00034A04"/>
    <w:rsid w:val="00114CB7"/>
    <w:rsid w:val="002146A4"/>
    <w:rsid w:val="002833A8"/>
    <w:rsid w:val="004301EF"/>
    <w:rsid w:val="005B6A23"/>
    <w:rsid w:val="00815405"/>
    <w:rsid w:val="008B512D"/>
    <w:rsid w:val="0092485A"/>
    <w:rsid w:val="00BE068A"/>
    <w:rsid w:val="00C556BB"/>
    <w:rsid w:val="00FA09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3EF7"/>
  <w15:chartTrackingRefBased/>
  <w15:docId w15:val="{4C51C1F8-EDC8-45E8-8E12-24FE0C92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24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924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9248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9248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9248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9248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248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248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248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248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9248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9248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9248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9248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9248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248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248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2485A"/>
    <w:rPr>
      <w:rFonts w:eastAsiaTheme="majorEastAsia" w:cstheme="majorBidi"/>
      <w:color w:val="272727" w:themeColor="text1" w:themeTint="D8"/>
    </w:rPr>
  </w:style>
  <w:style w:type="paragraph" w:styleId="Ttulo">
    <w:name w:val="Title"/>
    <w:basedOn w:val="Normal"/>
    <w:next w:val="Normal"/>
    <w:link w:val="TtuloCar"/>
    <w:uiPriority w:val="10"/>
    <w:qFormat/>
    <w:rsid w:val="00924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248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248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248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2485A"/>
    <w:pPr>
      <w:spacing w:before="160"/>
      <w:jc w:val="center"/>
    </w:pPr>
    <w:rPr>
      <w:i/>
      <w:iCs/>
      <w:color w:val="404040" w:themeColor="text1" w:themeTint="BF"/>
    </w:rPr>
  </w:style>
  <w:style w:type="character" w:customStyle="1" w:styleId="CitaCar">
    <w:name w:val="Cita Car"/>
    <w:basedOn w:val="Fuentedeprrafopredeter"/>
    <w:link w:val="Cita"/>
    <w:uiPriority w:val="29"/>
    <w:rsid w:val="0092485A"/>
    <w:rPr>
      <w:i/>
      <w:iCs/>
      <w:color w:val="404040" w:themeColor="text1" w:themeTint="BF"/>
    </w:rPr>
  </w:style>
  <w:style w:type="paragraph" w:styleId="Prrafodelista">
    <w:name w:val="List Paragraph"/>
    <w:basedOn w:val="Normal"/>
    <w:uiPriority w:val="34"/>
    <w:qFormat/>
    <w:rsid w:val="0092485A"/>
    <w:pPr>
      <w:ind w:left="720"/>
      <w:contextualSpacing/>
    </w:pPr>
  </w:style>
  <w:style w:type="character" w:styleId="nfasisintenso">
    <w:name w:val="Intense Emphasis"/>
    <w:basedOn w:val="Fuentedeprrafopredeter"/>
    <w:uiPriority w:val="21"/>
    <w:qFormat/>
    <w:rsid w:val="0092485A"/>
    <w:rPr>
      <w:i/>
      <w:iCs/>
      <w:color w:val="2F5496" w:themeColor="accent1" w:themeShade="BF"/>
    </w:rPr>
  </w:style>
  <w:style w:type="paragraph" w:styleId="Citadestacada">
    <w:name w:val="Intense Quote"/>
    <w:basedOn w:val="Normal"/>
    <w:next w:val="Normal"/>
    <w:link w:val="CitadestacadaCar"/>
    <w:uiPriority w:val="30"/>
    <w:qFormat/>
    <w:rsid w:val="00924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92485A"/>
    <w:rPr>
      <w:i/>
      <w:iCs/>
      <w:color w:val="2F5496" w:themeColor="accent1" w:themeShade="BF"/>
    </w:rPr>
  </w:style>
  <w:style w:type="character" w:styleId="Referenciaintensa">
    <w:name w:val="Intense Reference"/>
    <w:basedOn w:val="Fuentedeprrafopredeter"/>
    <w:uiPriority w:val="32"/>
    <w:qFormat/>
    <w:rsid w:val="0092485A"/>
    <w:rPr>
      <w:b/>
      <w:bCs/>
      <w:smallCaps/>
      <w:color w:val="2F5496" w:themeColor="accent1" w:themeShade="BF"/>
      <w:spacing w:val="5"/>
    </w:rPr>
  </w:style>
  <w:style w:type="table" w:styleId="Tablaconcuadrcula">
    <w:name w:val="Table Grid"/>
    <w:basedOn w:val="Tablanormal"/>
    <w:uiPriority w:val="39"/>
    <w:rsid w:val="00924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2187</Words>
  <Characters>12031</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2025-03-06T11:36:00Z</dcterms:created>
  <dcterms:modified xsi:type="dcterms:W3CDTF">2025-03-06T12:38:00Z</dcterms:modified>
</cp:coreProperties>
</file>