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escrito sobre compensación contra la liquidación del 2024 correspondiente a la diferencia entre el coste unitario del servicio y la tasa vigente con las deudas totales pagadas por Hidralia (canon de vertido e impuestos litorales ejercicios 2023 y 2024).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presentado el acuerdo adjunto y se acuerde conforme a lo solicitado en el cuerpo del mismo.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