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como inversión con cargo a dotación del año 2025 la sustitución de las 4 ventosas existentes en EBAR Géminis.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como inversión con cargo a dotación del año 2025 la sustitución de las 4 ventosas existentes en EBAR Géminis.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